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71CEC" w14:textId="6B4756EB" w:rsidR="005F37DB" w:rsidRPr="001E7605" w:rsidRDefault="005F37DB" w:rsidP="00FF57DD">
      <w:pPr>
        <w:spacing w:after="240" w:line="276" w:lineRule="auto"/>
        <w:jc w:val="center"/>
        <w:rPr>
          <w:rFonts w:ascii="Garamond" w:hAnsi="Garamond"/>
          <w:b/>
          <w:bCs/>
          <w:color w:val="000000" w:themeColor="text1"/>
          <w:sz w:val="28"/>
          <w:szCs w:val="28"/>
          <w:lang w:val="en-US"/>
        </w:rPr>
      </w:pPr>
      <w:bookmarkStart w:id="0" w:name="_Toc145663627"/>
      <w:r w:rsidRPr="001E7605">
        <w:rPr>
          <w:rFonts w:ascii="Garamond" w:hAnsi="Garamond"/>
          <w:b/>
          <w:bCs/>
          <w:color w:val="000000" w:themeColor="text1"/>
          <w:sz w:val="28"/>
          <w:szCs w:val="28"/>
          <w:lang w:val="en-US"/>
        </w:rPr>
        <w:t>Supplementary information</w:t>
      </w:r>
    </w:p>
    <w:p w14:paraId="11D2F4D5" w14:textId="1C829EE9" w:rsidR="009360C1" w:rsidRPr="001E7605" w:rsidRDefault="009360C1" w:rsidP="009360C1">
      <w:pPr>
        <w:spacing w:after="240" w:line="276" w:lineRule="auto"/>
        <w:jc w:val="both"/>
        <w:rPr>
          <w:rFonts w:ascii="Garamond" w:hAnsi="Garamond"/>
          <w:b/>
          <w:bCs/>
          <w:color w:val="000000" w:themeColor="text1"/>
          <w:lang w:val="en-US"/>
        </w:rPr>
      </w:pPr>
      <w:r w:rsidRPr="001E7605">
        <w:rPr>
          <w:rFonts w:ascii="Garamond" w:hAnsi="Garamond"/>
          <w:b/>
          <w:bCs/>
          <w:color w:val="000000" w:themeColor="text1"/>
          <w:lang w:val="en-US"/>
        </w:rPr>
        <w:t xml:space="preserve">Novel insights into </w:t>
      </w:r>
      <w:proofErr w:type="spellStart"/>
      <w:r w:rsidRPr="001E7605">
        <w:rPr>
          <w:rFonts w:ascii="Garamond" w:hAnsi="Garamond"/>
          <w:b/>
          <w:bCs/>
          <w:i/>
          <w:color w:val="000000" w:themeColor="text1"/>
          <w:lang w:val="en-US"/>
        </w:rPr>
        <w:t>I</w:t>
      </w:r>
      <w:r w:rsidRPr="001E7605">
        <w:rPr>
          <w:rFonts w:ascii="Garamond" w:hAnsi="Garamond"/>
          <w:b/>
          <w:bCs/>
          <w:color w:val="000000" w:themeColor="text1"/>
          <w:vertAlign w:val="subscript"/>
          <w:lang w:val="en-US"/>
        </w:rPr>
        <w:t>Kur</w:t>
      </w:r>
      <w:proofErr w:type="spellEnd"/>
      <w:r w:rsidRPr="001E7605">
        <w:rPr>
          <w:rFonts w:ascii="Garamond" w:hAnsi="Garamond"/>
          <w:b/>
          <w:bCs/>
          <w:color w:val="000000" w:themeColor="text1"/>
          <w:lang w:val="en-US"/>
        </w:rPr>
        <w:t xml:space="preserve"> modulation by Lgi3-4: Implications in atrial fibrillation</w:t>
      </w:r>
    </w:p>
    <w:p w14:paraId="65075C2E" w14:textId="33298656" w:rsidR="009360C1" w:rsidRPr="001E7605" w:rsidRDefault="009360C1" w:rsidP="009360C1">
      <w:pPr>
        <w:spacing w:after="240" w:line="276" w:lineRule="auto"/>
        <w:jc w:val="both"/>
        <w:rPr>
          <w:rFonts w:ascii="Garamond" w:hAnsi="Garamond"/>
          <w:color w:val="000000" w:themeColor="text1"/>
        </w:rPr>
      </w:pPr>
      <w:r w:rsidRPr="001E7605">
        <w:rPr>
          <w:rFonts w:ascii="Garamond" w:hAnsi="Garamond"/>
          <w:bCs/>
          <w:color w:val="000000" w:themeColor="text1"/>
        </w:rPr>
        <w:t>Paula G. Socuéllamos</w:t>
      </w:r>
      <w:r w:rsidRPr="001E7605">
        <w:rPr>
          <w:rFonts w:ascii="Garamond" w:hAnsi="Garamond"/>
          <w:bCs/>
          <w:color w:val="000000" w:themeColor="text1"/>
          <w:vertAlign w:val="superscript"/>
        </w:rPr>
        <w:t>1,2*</w:t>
      </w:r>
      <w:r w:rsidRPr="001E7605">
        <w:rPr>
          <w:rFonts w:ascii="Garamond" w:hAnsi="Garamond"/>
          <w:color w:val="000000" w:themeColor="text1"/>
        </w:rPr>
        <w:t>, Álvaro Macías</w:t>
      </w:r>
      <w:r w:rsidRPr="001E7605">
        <w:rPr>
          <w:rFonts w:ascii="Garamond" w:hAnsi="Garamond"/>
          <w:color w:val="000000" w:themeColor="text1"/>
          <w:vertAlign w:val="superscript"/>
        </w:rPr>
        <w:t>2</w:t>
      </w:r>
      <w:r w:rsidRPr="001E7605">
        <w:rPr>
          <w:rFonts w:ascii="Garamond" w:hAnsi="Garamond"/>
          <w:color w:val="000000" w:themeColor="text1"/>
        </w:rPr>
        <w:t>, Ángela de Benito-Bueno</w:t>
      </w:r>
      <w:r w:rsidRPr="001E7605">
        <w:rPr>
          <w:rFonts w:ascii="Garamond" w:hAnsi="Garamond"/>
          <w:color w:val="000000" w:themeColor="text1"/>
          <w:vertAlign w:val="superscript"/>
        </w:rPr>
        <w:t>1</w:t>
      </w:r>
      <w:r w:rsidRPr="001E7605">
        <w:rPr>
          <w:rFonts w:ascii="Garamond" w:hAnsi="Garamond"/>
          <w:color w:val="000000" w:themeColor="text1"/>
        </w:rPr>
        <w:t>, Francisco M. Cruz</w:t>
      </w:r>
      <w:r w:rsidRPr="001E7605">
        <w:rPr>
          <w:rFonts w:ascii="Garamond" w:hAnsi="Garamond"/>
          <w:color w:val="000000" w:themeColor="text1"/>
          <w:vertAlign w:val="superscript"/>
        </w:rPr>
        <w:t>2</w:t>
      </w:r>
      <w:r w:rsidRPr="001E7605">
        <w:rPr>
          <w:rFonts w:ascii="Garamond" w:hAnsi="Garamond"/>
          <w:color w:val="000000" w:themeColor="text1"/>
        </w:rPr>
        <w:t>, María Redondo-Moya</w:t>
      </w:r>
      <w:r w:rsidRPr="001E7605">
        <w:rPr>
          <w:rFonts w:ascii="Garamond" w:hAnsi="Garamond"/>
          <w:color w:val="000000" w:themeColor="text1"/>
          <w:vertAlign w:val="superscript"/>
        </w:rPr>
        <w:t>1</w:t>
      </w:r>
      <w:r w:rsidRPr="001E7605">
        <w:rPr>
          <w:rFonts w:ascii="Garamond" w:hAnsi="Garamond"/>
          <w:color w:val="000000" w:themeColor="text1"/>
        </w:rPr>
        <w:t>, María José Coronado</w:t>
      </w:r>
      <w:r w:rsidRPr="001E7605">
        <w:rPr>
          <w:rFonts w:ascii="Garamond" w:hAnsi="Garamond"/>
          <w:color w:val="000000" w:themeColor="text1"/>
          <w:vertAlign w:val="superscript"/>
        </w:rPr>
        <w:t>3</w:t>
      </w:r>
      <w:r w:rsidRPr="001E7605">
        <w:rPr>
          <w:rFonts w:ascii="Garamond" w:hAnsi="Garamond"/>
          <w:color w:val="000000" w:themeColor="text1"/>
        </w:rPr>
        <w:t>, Elvira Ramil</w:t>
      </w:r>
      <w:r w:rsidRPr="001E7605">
        <w:rPr>
          <w:rFonts w:ascii="Garamond" w:hAnsi="Garamond"/>
          <w:color w:val="000000" w:themeColor="text1"/>
          <w:vertAlign w:val="superscript"/>
        </w:rPr>
        <w:t>3</w:t>
      </w:r>
      <w:r w:rsidRPr="001E7605">
        <w:rPr>
          <w:rFonts w:ascii="Garamond" w:hAnsi="Garamond"/>
          <w:color w:val="000000" w:themeColor="text1"/>
        </w:rPr>
        <w:t>, Silvia Rosado</w:t>
      </w:r>
      <w:r w:rsidRPr="001E7605">
        <w:rPr>
          <w:rFonts w:ascii="Garamond" w:hAnsi="Garamond"/>
          <w:color w:val="000000" w:themeColor="text1"/>
          <w:vertAlign w:val="superscript"/>
        </w:rPr>
        <w:t>3</w:t>
      </w:r>
      <w:r w:rsidRPr="001E7605">
        <w:rPr>
          <w:rFonts w:ascii="Garamond" w:hAnsi="Garamond"/>
          <w:color w:val="000000" w:themeColor="text1"/>
        </w:rPr>
        <w:t>, Elsa</w:t>
      </w:r>
      <w:r w:rsidR="00295FD9" w:rsidRPr="001E7605">
        <w:rPr>
          <w:rFonts w:ascii="Garamond" w:hAnsi="Garamond"/>
          <w:color w:val="000000" w:themeColor="text1"/>
        </w:rPr>
        <w:t xml:space="preserve"> </w:t>
      </w:r>
      <w:r w:rsidR="00295FD9" w:rsidRPr="00A945AB">
        <w:rPr>
          <w:rFonts w:ascii="Garamond" w:hAnsi="Garamond"/>
          <w:color w:val="000000" w:themeColor="text1"/>
        </w:rPr>
        <w:t>Carolina</w:t>
      </w:r>
      <w:r w:rsidRPr="001E7605">
        <w:rPr>
          <w:rFonts w:ascii="Garamond" w:hAnsi="Garamond"/>
          <w:color w:val="000000" w:themeColor="text1"/>
        </w:rPr>
        <w:t xml:space="preserve"> Rios-Rosado</w:t>
      </w:r>
      <w:r w:rsidRPr="001E7605">
        <w:rPr>
          <w:rFonts w:ascii="Garamond" w:hAnsi="Garamond"/>
          <w:color w:val="000000" w:themeColor="text1"/>
          <w:vertAlign w:val="superscript"/>
        </w:rPr>
        <w:t>4</w:t>
      </w:r>
      <w:r w:rsidRPr="001E7605">
        <w:rPr>
          <w:rFonts w:ascii="Garamond" w:hAnsi="Garamond"/>
          <w:color w:val="000000" w:themeColor="text1"/>
        </w:rPr>
        <w:t>, María Valencia-Avezuela</w:t>
      </w:r>
      <w:r w:rsidRPr="001E7605">
        <w:rPr>
          <w:rFonts w:ascii="Garamond" w:hAnsi="Garamond"/>
          <w:color w:val="000000" w:themeColor="text1"/>
          <w:vertAlign w:val="superscript"/>
        </w:rPr>
        <w:t>1</w:t>
      </w:r>
      <w:r w:rsidRPr="001E7605">
        <w:rPr>
          <w:rFonts w:ascii="Garamond" w:hAnsi="Garamond"/>
          <w:color w:val="000000" w:themeColor="text1"/>
        </w:rPr>
        <w:t>, Laura Andrés-Delgado</w:t>
      </w:r>
      <w:r w:rsidRPr="001E7605">
        <w:rPr>
          <w:rFonts w:ascii="Garamond" w:hAnsi="Garamond"/>
          <w:color w:val="000000" w:themeColor="text1"/>
          <w:vertAlign w:val="superscript"/>
        </w:rPr>
        <w:t>5</w:t>
      </w:r>
      <w:r w:rsidRPr="001E7605">
        <w:rPr>
          <w:rFonts w:ascii="Garamond" w:hAnsi="Garamond"/>
          <w:color w:val="000000" w:themeColor="text1"/>
        </w:rPr>
        <w:t>, José Antonio Blázquez</w:t>
      </w:r>
      <w:r w:rsidRPr="001E7605">
        <w:rPr>
          <w:rFonts w:ascii="Garamond" w:hAnsi="Garamond"/>
          <w:color w:val="000000" w:themeColor="text1"/>
          <w:vertAlign w:val="superscript"/>
        </w:rPr>
        <w:t>6,7</w:t>
      </w:r>
      <w:r w:rsidRPr="001E7605">
        <w:rPr>
          <w:rFonts w:ascii="Garamond" w:hAnsi="Garamond"/>
          <w:color w:val="000000" w:themeColor="text1"/>
        </w:rPr>
        <w:t>, Alberto Forteza-Gil</w:t>
      </w:r>
      <w:r w:rsidRPr="001E7605">
        <w:rPr>
          <w:rFonts w:ascii="Garamond" w:hAnsi="Garamond"/>
          <w:color w:val="000000" w:themeColor="text1"/>
          <w:vertAlign w:val="superscript"/>
        </w:rPr>
        <w:t>4</w:t>
      </w:r>
      <w:r w:rsidRPr="001E7605">
        <w:rPr>
          <w:rFonts w:ascii="Garamond" w:hAnsi="Garamond"/>
          <w:color w:val="000000" w:themeColor="text1"/>
        </w:rPr>
        <w:t>, Marta Gutiérrez-Rodríguez</w:t>
      </w:r>
      <w:r w:rsidRPr="001E7605">
        <w:rPr>
          <w:rFonts w:ascii="Garamond" w:hAnsi="Garamond"/>
          <w:color w:val="000000" w:themeColor="text1"/>
          <w:vertAlign w:val="superscript"/>
        </w:rPr>
        <w:t>8</w:t>
      </w:r>
      <w:r w:rsidRPr="001E7605">
        <w:rPr>
          <w:rFonts w:ascii="Garamond" w:hAnsi="Garamond"/>
          <w:color w:val="000000" w:themeColor="text1"/>
        </w:rPr>
        <w:t>, José Jalife</w:t>
      </w:r>
      <w:r w:rsidRPr="001E7605">
        <w:rPr>
          <w:rFonts w:ascii="Garamond" w:hAnsi="Garamond"/>
          <w:color w:val="000000" w:themeColor="text1"/>
          <w:vertAlign w:val="superscript"/>
        </w:rPr>
        <w:t>2,9,10</w:t>
      </w:r>
      <w:r w:rsidRPr="001E7605">
        <w:rPr>
          <w:rFonts w:ascii="Garamond" w:hAnsi="Garamond"/>
          <w:color w:val="000000" w:themeColor="text1"/>
        </w:rPr>
        <w:t xml:space="preserve"> &amp; Carmen Valenzuela</w:t>
      </w:r>
      <w:r w:rsidRPr="001E7605">
        <w:rPr>
          <w:rFonts w:ascii="Garamond" w:hAnsi="Garamond"/>
          <w:color w:val="000000" w:themeColor="text1"/>
          <w:vertAlign w:val="superscript"/>
        </w:rPr>
        <w:t>1,10*</w:t>
      </w:r>
      <w:r w:rsidRPr="001E7605">
        <w:rPr>
          <w:rFonts w:ascii="Garamond" w:hAnsi="Garamond"/>
          <w:color w:val="000000" w:themeColor="text1"/>
        </w:rPr>
        <w:t xml:space="preserve">. </w:t>
      </w:r>
    </w:p>
    <w:p w14:paraId="66683184" w14:textId="77777777" w:rsidR="009360C1" w:rsidRPr="001E7605" w:rsidRDefault="009360C1" w:rsidP="009360C1">
      <w:pPr>
        <w:spacing w:line="276" w:lineRule="auto"/>
        <w:jc w:val="both"/>
        <w:rPr>
          <w:rFonts w:ascii="Garamond" w:hAnsi="Garamond"/>
          <w:color w:val="000000" w:themeColor="text1"/>
        </w:rPr>
      </w:pPr>
      <w:r w:rsidRPr="001E7605">
        <w:rPr>
          <w:rFonts w:ascii="Garamond" w:hAnsi="Garamond"/>
          <w:color w:val="000000" w:themeColor="text1"/>
          <w:vertAlign w:val="superscript"/>
        </w:rPr>
        <w:t>1</w:t>
      </w:r>
      <w:r w:rsidRPr="001E7605">
        <w:rPr>
          <w:rFonts w:ascii="Garamond" w:hAnsi="Garamond"/>
          <w:color w:val="000000" w:themeColor="text1"/>
        </w:rPr>
        <w:t xml:space="preserve"> Instituto de Investigaciones Biomédicas </w:t>
      </w:r>
      <w:proofErr w:type="spellStart"/>
      <w:r w:rsidRPr="001E7605">
        <w:rPr>
          <w:rFonts w:ascii="Garamond" w:hAnsi="Garamond"/>
          <w:color w:val="000000" w:themeColor="text1"/>
        </w:rPr>
        <w:t>Sols</w:t>
      </w:r>
      <w:proofErr w:type="spellEnd"/>
      <w:r w:rsidRPr="001E7605">
        <w:rPr>
          <w:rFonts w:ascii="Garamond" w:hAnsi="Garamond"/>
          <w:color w:val="000000" w:themeColor="text1"/>
        </w:rPr>
        <w:t>-Morreale CSIC-UAM, Madrid, Spain.</w:t>
      </w:r>
    </w:p>
    <w:p w14:paraId="464088DE" w14:textId="77777777" w:rsidR="009360C1" w:rsidRPr="001E7605" w:rsidRDefault="009360C1" w:rsidP="009360C1">
      <w:pPr>
        <w:spacing w:line="276" w:lineRule="auto"/>
        <w:jc w:val="both"/>
        <w:rPr>
          <w:rFonts w:ascii="Garamond" w:hAnsi="Garamond"/>
          <w:color w:val="000000" w:themeColor="text1"/>
        </w:rPr>
      </w:pPr>
      <w:r w:rsidRPr="001E7605">
        <w:rPr>
          <w:rFonts w:ascii="Garamond" w:hAnsi="Garamond"/>
          <w:color w:val="000000" w:themeColor="text1"/>
          <w:vertAlign w:val="superscript"/>
        </w:rPr>
        <w:t>2</w:t>
      </w:r>
      <w:r w:rsidRPr="001E7605">
        <w:rPr>
          <w:rFonts w:ascii="Garamond" w:hAnsi="Garamond"/>
          <w:color w:val="000000" w:themeColor="text1"/>
        </w:rPr>
        <w:t xml:space="preserve"> Centro Nacional de Investigaciones Cardiovasculares (CNIC), Madrid, Spain.</w:t>
      </w:r>
    </w:p>
    <w:p w14:paraId="34CF866A" w14:textId="77777777" w:rsidR="009360C1" w:rsidRPr="001E7605" w:rsidRDefault="009360C1" w:rsidP="009360C1">
      <w:pPr>
        <w:spacing w:line="276" w:lineRule="auto"/>
        <w:jc w:val="both"/>
        <w:rPr>
          <w:rFonts w:ascii="Garamond" w:hAnsi="Garamond"/>
          <w:color w:val="000000" w:themeColor="text1"/>
        </w:rPr>
      </w:pPr>
      <w:r w:rsidRPr="001E7605">
        <w:rPr>
          <w:rFonts w:ascii="Garamond" w:hAnsi="Garamond"/>
          <w:color w:val="000000" w:themeColor="text1"/>
          <w:vertAlign w:val="superscript"/>
        </w:rPr>
        <w:t xml:space="preserve">3 </w:t>
      </w:r>
      <w:proofErr w:type="spellStart"/>
      <w:r w:rsidRPr="001E7605">
        <w:rPr>
          <w:rFonts w:ascii="Garamond" w:hAnsi="Garamond"/>
          <w:color w:val="000000" w:themeColor="text1"/>
        </w:rPr>
        <w:t>Institute</w:t>
      </w:r>
      <w:proofErr w:type="spellEnd"/>
      <w:r w:rsidRPr="001E7605">
        <w:rPr>
          <w:rFonts w:ascii="Garamond" w:hAnsi="Garamond"/>
          <w:color w:val="000000" w:themeColor="text1"/>
        </w:rPr>
        <w:t xml:space="preserve"> </w:t>
      </w:r>
      <w:proofErr w:type="spellStart"/>
      <w:r w:rsidRPr="001E7605">
        <w:rPr>
          <w:rFonts w:ascii="Garamond" w:hAnsi="Garamond"/>
          <w:color w:val="000000" w:themeColor="text1"/>
        </w:rPr>
        <w:t>of</w:t>
      </w:r>
      <w:proofErr w:type="spellEnd"/>
      <w:r w:rsidRPr="001E7605">
        <w:rPr>
          <w:rFonts w:ascii="Garamond" w:hAnsi="Garamond"/>
          <w:color w:val="000000" w:themeColor="text1"/>
        </w:rPr>
        <w:t xml:space="preserve"> Health Research Puerta de Hierro- Segovia de Arana, IDIPHISA, Madrid, Spain.</w:t>
      </w:r>
    </w:p>
    <w:p w14:paraId="18645B37" w14:textId="77777777" w:rsidR="009360C1" w:rsidRPr="001E7605" w:rsidRDefault="009360C1" w:rsidP="009360C1">
      <w:pPr>
        <w:spacing w:line="276" w:lineRule="auto"/>
        <w:jc w:val="both"/>
        <w:rPr>
          <w:rFonts w:ascii="Garamond" w:hAnsi="Garamond"/>
          <w:color w:val="000000" w:themeColor="text1"/>
        </w:rPr>
      </w:pPr>
      <w:r w:rsidRPr="001E7605">
        <w:rPr>
          <w:rFonts w:ascii="Garamond" w:hAnsi="Garamond"/>
          <w:color w:val="000000" w:themeColor="text1"/>
          <w:vertAlign w:val="superscript"/>
        </w:rPr>
        <w:t xml:space="preserve">4 </w:t>
      </w:r>
      <w:r w:rsidRPr="001E7605">
        <w:rPr>
          <w:rFonts w:ascii="Garamond" w:hAnsi="Garamond"/>
          <w:color w:val="000000" w:themeColor="text1"/>
        </w:rPr>
        <w:t>Hospital Universitario Puerta de Hierro, Madrid, Spain.</w:t>
      </w:r>
    </w:p>
    <w:p w14:paraId="5D0C0420" w14:textId="77777777" w:rsidR="009360C1" w:rsidRPr="001E7605" w:rsidRDefault="009360C1" w:rsidP="009360C1">
      <w:pPr>
        <w:spacing w:line="276" w:lineRule="auto"/>
        <w:jc w:val="both"/>
        <w:rPr>
          <w:rFonts w:ascii="Garamond" w:hAnsi="Garamond"/>
          <w:color w:val="000000" w:themeColor="text1"/>
        </w:rPr>
      </w:pPr>
      <w:r w:rsidRPr="001E7605">
        <w:rPr>
          <w:rFonts w:ascii="Garamond" w:hAnsi="Garamond"/>
          <w:color w:val="000000" w:themeColor="text1"/>
          <w:vertAlign w:val="superscript"/>
        </w:rPr>
        <w:t>5</w:t>
      </w:r>
      <w:r w:rsidRPr="001E7605">
        <w:rPr>
          <w:rFonts w:ascii="Garamond" w:hAnsi="Garamond"/>
          <w:color w:val="000000" w:themeColor="text1"/>
        </w:rPr>
        <w:t xml:space="preserve"> Departamento de Anatomía, Histología y Neurociencias, Facultad de Medicina, Universidad Autónoma de Madrid, Madrid, Spain.</w:t>
      </w:r>
    </w:p>
    <w:p w14:paraId="310733D7" w14:textId="77777777" w:rsidR="009360C1" w:rsidRPr="001E7605" w:rsidRDefault="009360C1" w:rsidP="009360C1">
      <w:pPr>
        <w:spacing w:line="276" w:lineRule="auto"/>
        <w:jc w:val="both"/>
        <w:rPr>
          <w:rFonts w:ascii="Garamond" w:hAnsi="Garamond"/>
          <w:color w:val="000000" w:themeColor="text1"/>
        </w:rPr>
      </w:pPr>
      <w:r w:rsidRPr="001E7605">
        <w:rPr>
          <w:rFonts w:ascii="Garamond" w:hAnsi="Garamond"/>
          <w:color w:val="000000" w:themeColor="text1"/>
          <w:vertAlign w:val="superscript"/>
        </w:rPr>
        <w:t>6</w:t>
      </w:r>
      <w:r w:rsidRPr="001E7605">
        <w:rPr>
          <w:rFonts w:ascii="Garamond" w:hAnsi="Garamond"/>
          <w:color w:val="000000" w:themeColor="text1"/>
        </w:rPr>
        <w:t xml:space="preserve"> Departamento de Cirugía Cardiaca, Hospital Universitario La Paz, Madrid, Spain.</w:t>
      </w:r>
    </w:p>
    <w:p w14:paraId="7C5C8E60" w14:textId="77777777" w:rsidR="009360C1" w:rsidRPr="001E7605" w:rsidRDefault="009360C1" w:rsidP="009360C1">
      <w:pPr>
        <w:spacing w:line="276" w:lineRule="auto"/>
        <w:jc w:val="both"/>
        <w:rPr>
          <w:rFonts w:ascii="Garamond" w:hAnsi="Garamond"/>
          <w:color w:val="000000" w:themeColor="text1"/>
        </w:rPr>
      </w:pPr>
      <w:r w:rsidRPr="001E7605">
        <w:rPr>
          <w:rFonts w:ascii="Garamond" w:hAnsi="Garamond"/>
          <w:color w:val="000000" w:themeColor="text1"/>
          <w:vertAlign w:val="superscript"/>
        </w:rPr>
        <w:t>7</w:t>
      </w:r>
      <w:r w:rsidRPr="001E7605">
        <w:rPr>
          <w:rFonts w:ascii="Garamond" w:hAnsi="Garamond"/>
          <w:color w:val="000000" w:themeColor="text1"/>
        </w:rPr>
        <w:t xml:space="preserve"> </w:t>
      </w:r>
      <w:r w:rsidRPr="001E7605">
        <w:rPr>
          <w:rFonts w:ascii="Garamond" w:hAnsi="Garamond"/>
          <w:bCs/>
          <w:color w:val="000000" w:themeColor="text1"/>
        </w:rPr>
        <w:t>Complejo Asistencial Universitario de Salamanca, Salamanca, Spain</w:t>
      </w:r>
      <w:r w:rsidRPr="001E7605">
        <w:rPr>
          <w:rFonts w:ascii="Garamond" w:hAnsi="Garamond"/>
          <w:color w:val="000000" w:themeColor="text1"/>
        </w:rPr>
        <w:t>.</w:t>
      </w:r>
    </w:p>
    <w:p w14:paraId="05CEFFD3" w14:textId="77777777" w:rsidR="009360C1" w:rsidRPr="001E7605" w:rsidRDefault="009360C1" w:rsidP="009360C1">
      <w:pPr>
        <w:spacing w:line="276" w:lineRule="auto"/>
        <w:jc w:val="both"/>
        <w:rPr>
          <w:rFonts w:ascii="Garamond" w:hAnsi="Garamond"/>
          <w:color w:val="000000" w:themeColor="text1"/>
        </w:rPr>
      </w:pPr>
      <w:r w:rsidRPr="001E7605">
        <w:rPr>
          <w:rFonts w:ascii="Garamond" w:hAnsi="Garamond"/>
          <w:color w:val="000000" w:themeColor="text1"/>
          <w:vertAlign w:val="superscript"/>
        </w:rPr>
        <w:t>8</w:t>
      </w:r>
      <w:r w:rsidRPr="001E7605">
        <w:rPr>
          <w:rFonts w:ascii="Garamond" w:hAnsi="Garamond"/>
          <w:color w:val="000000" w:themeColor="text1"/>
        </w:rPr>
        <w:t xml:space="preserve"> Instituto de Química Médica (IQM-CSIC), Madrid, Spain.</w:t>
      </w:r>
    </w:p>
    <w:p w14:paraId="7138FA5F" w14:textId="77777777" w:rsidR="009360C1" w:rsidRPr="001E7605" w:rsidRDefault="009360C1" w:rsidP="009360C1">
      <w:pPr>
        <w:spacing w:line="276" w:lineRule="auto"/>
        <w:jc w:val="both"/>
        <w:rPr>
          <w:rFonts w:ascii="Garamond" w:hAnsi="Garamond"/>
          <w:color w:val="000000" w:themeColor="text1"/>
          <w:lang w:val="en-GB"/>
        </w:rPr>
      </w:pPr>
      <w:r w:rsidRPr="001E7605">
        <w:rPr>
          <w:rFonts w:ascii="Garamond" w:hAnsi="Garamond"/>
          <w:color w:val="000000" w:themeColor="text1"/>
          <w:vertAlign w:val="superscript"/>
          <w:lang w:val="en-GB"/>
        </w:rPr>
        <w:t>9</w:t>
      </w:r>
      <w:r w:rsidRPr="001E7605">
        <w:rPr>
          <w:rFonts w:ascii="Garamond" w:hAnsi="Garamond"/>
          <w:color w:val="000000" w:themeColor="text1"/>
          <w:lang w:val="en-GB"/>
        </w:rPr>
        <w:t xml:space="preserve"> Departments of Internal Medicine and Molecular and Integrative Physiology, University of Michigan, Ann Arbor, MI, USA.</w:t>
      </w:r>
    </w:p>
    <w:p w14:paraId="31E9FB9C" w14:textId="77777777" w:rsidR="009360C1" w:rsidRPr="001E7605" w:rsidRDefault="009360C1" w:rsidP="009360C1">
      <w:pPr>
        <w:spacing w:after="240" w:line="276" w:lineRule="auto"/>
        <w:jc w:val="both"/>
        <w:rPr>
          <w:rFonts w:ascii="Garamond" w:hAnsi="Garamond"/>
          <w:color w:val="000000" w:themeColor="text1"/>
        </w:rPr>
      </w:pPr>
      <w:r w:rsidRPr="001E7605">
        <w:rPr>
          <w:rFonts w:ascii="Garamond" w:hAnsi="Garamond"/>
          <w:color w:val="000000" w:themeColor="text1"/>
          <w:vertAlign w:val="superscript"/>
        </w:rPr>
        <w:t>10</w:t>
      </w:r>
      <w:r w:rsidRPr="001E7605">
        <w:rPr>
          <w:rFonts w:ascii="Garamond" w:hAnsi="Garamond"/>
          <w:color w:val="000000" w:themeColor="text1"/>
        </w:rPr>
        <w:t xml:space="preserve"> Centro de Investigación Biomédica en Red de Enfermedades Cardiovasculares (CIBERCV).</w:t>
      </w:r>
    </w:p>
    <w:p w14:paraId="78665521" w14:textId="77777777" w:rsidR="009360C1" w:rsidRPr="001E7605" w:rsidRDefault="009360C1" w:rsidP="009360C1">
      <w:pPr>
        <w:spacing w:after="240" w:line="276" w:lineRule="auto"/>
        <w:jc w:val="both"/>
        <w:rPr>
          <w:rFonts w:ascii="Garamond" w:hAnsi="Garamond"/>
          <w:bCs/>
          <w:color w:val="000000" w:themeColor="text1"/>
          <w:lang w:val="en-US"/>
        </w:rPr>
      </w:pPr>
      <w:r w:rsidRPr="001E7605">
        <w:rPr>
          <w:rFonts w:ascii="Garamond" w:hAnsi="Garamond"/>
          <w:b/>
          <w:color w:val="000000" w:themeColor="text1"/>
          <w:lang w:val="en-US"/>
        </w:rPr>
        <w:t xml:space="preserve">Short title: </w:t>
      </w:r>
      <w:proofErr w:type="spellStart"/>
      <w:r w:rsidRPr="001E7605">
        <w:rPr>
          <w:rFonts w:ascii="Garamond" w:hAnsi="Garamond"/>
          <w:bCs/>
          <w:color w:val="000000" w:themeColor="text1"/>
          <w:lang w:val="en-US"/>
        </w:rPr>
        <w:t>Lgi</w:t>
      </w:r>
      <w:proofErr w:type="spellEnd"/>
      <w:r w:rsidRPr="001E7605">
        <w:rPr>
          <w:rFonts w:ascii="Garamond" w:hAnsi="Garamond"/>
          <w:bCs/>
          <w:color w:val="000000" w:themeColor="text1"/>
          <w:lang w:val="en-US"/>
        </w:rPr>
        <w:t xml:space="preserve"> proteins’ role in the pathophysiology of the heart.</w:t>
      </w:r>
    </w:p>
    <w:p w14:paraId="08DCBB71" w14:textId="77777777" w:rsidR="009360C1" w:rsidRPr="001E7605" w:rsidRDefault="009360C1" w:rsidP="009360C1">
      <w:pPr>
        <w:spacing w:after="240" w:line="276" w:lineRule="auto"/>
        <w:jc w:val="both"/>
        <w:rPr>
          <w:rFonts w:ascii="Garamond" w:hAnsi="Garamond"/>
          <w:b/>
          <w:color w:val="000000" w:themeColor="text1"/>
          <w:lang w:val="en-US"/>
        </w:rPr>
      </w:pPr>
      <w:r w:rsidRPr="001E7605">
        <w:rPr>
          <w:rFonts w:ascii="Garamond" w:hAnsi="Garamond"/>
          <w:b/>
          <w:color w:val="000000" w:themeColor="text1"/>
          <w:lang w:val="en-US"/>
        </w:rPr>
        <w:t>* Corresponding authors:</w:t>
      </w:r>
    </w:p>
    <w:p w14:paraId="170F999F" w14:textId="77777777" w:rsidR="009360C1" w:rsidRPr="001E7605" w:rsidRDefault="009360C1" w:rsidP="009360C1">
      <w:pPr>
        <w:spacing w:after="240" w:line="276" w:lineRule="auto"/>
        <w:jc w:val="both"/>
        <w:rPr>
          <w:rFonts w:ascii="Garamond" w:hAnsi="Garamond"/>
          <w:bCs/>
          <w:color w:val="000000" w:themeColor="text1"/>
          <w:lang w:val="en-US"/>
        </w:rPr>
      </w:pPr>
      <w:r w:rsidRPr="001E7605">
        <w:rPr>
          <w:rFonts w:ascii="Garamond" w:hAnsi="Garamond"/>
          <w:bCs/>
          <w:color w:val="000000" w:themeColor="text1"/>
          <w:lang w:val="en-US"/>
        </w:rPr>
        <w:t xml:space="preserve">Carmen Valenzuela, PhD. </w:t>
      </w:r>
    </w:p>
    <w:p w14:paraId="4C852BBF" w14:textId="77777777" w:rsidR="009360C1" w:rsidRPr="001E7605" w:rsidRDefault="009360C1" w:rsidP="009360C1">
      <w:pPr>
        <w:spacing w:line="276" w:lineRule="auto"/>
        <w:jc w:val="both"/>
        <w:rPr>
          <w:rFonts w:ascii="Garamond" w:hAnsi="Garamond"/>
          <w:bCs/>
          <w:color w:val="000000" w:themeColor="text1"/>
        </w:rPr>
      </w:pPr>
      <w:r w:rsidRPr="001E7605">
        <w:rPr>
          <w:rFonts w:ascii="Garamond" w:hAnsi="Garamond"/>
          <w:bCs/>
          <w:color w:val="000000" w:themeColor="text1"/>
        </w:rPr>
        <w:t xml:space="preserve">Instituto de Investigaciones Biomédicas </w:t>
      </w:r>
      <w:proofErr w:type="spellStart"/>
      <w:r w:rsidRPr="001E7605">
        <w:rPr>
          <w:rFonts w:ascii="Garamond" w:hAnsi="Garamond"/>
          <w:bCs/>
          <w:color w:val="000000" w:themeColor="text1"/>
        </w:rPr>
        <w:t>Sols</w:t>
      </w:r>
      <w:proofErr w:type="spellEnd"/>
      <w:r w:rsidRPr="001E7605">
        <w:rPr>
          <w:rFonts w:ascii="Garamond" w:hAnsi="Garamond"/>
          <w:bCs/>
          <w:color w:val="000000" w:themeColor="text1"/>
        </w:rPr>
        <w:t>-Morreale CSIC-UAM, Madrid, Spain.</w:t>
      </w:r>
    </w:p>
    <w:p w14:paraId="2BEC2710" w14:textId="77777777" w:rsidR="009360C1" w:rsidRPr="001E7605" w:rsidRDefault="009360C1" w:rsidP="009360C1">
      <w:pPr>
        <w:spacing w:line="276" w:lineRule="auto"/>
        <w:jc w:val="both"/>
        <w:rPr>
          <w:rFonts w:ascii="Garamond" w:hAnsi="Garamond"/>
          <w:bCs/>
          <w:color w:val="000000" w:themeColor="text1"/>
        </w:rPr>
      </w:pPr>
      <w:r w:rsidRPr="001E7605">
        <w:rPr>
          <w:rFonts w:ascii="Garamond" w:hAnsi="Garamond"/>
          <w:bCs/>
          <w:color w:val="000000" w:themeColor="text1"/>
        </w:rPr>
        <w:t>Arturo Duperier, 4, 28029 Madrid, Spain</w:t>
      </w:r>
    </w:p>
    <w:p w14:paraId="1DA36123" w14:textId="77777777" w:rsidR="009360C1" w:rsidRPr="001E7605" w:rsidRDefault="009360C1" w:rsidP="009360C1">
      <w:pPr>
        <w:spacing w:after="240" w:line="276" w:lineRule="auto"/>
        <w:jc w:val="both"/>
        <w:rPr>
          <w:rFonts w:ascii="Garamond" w:hAnsi="Garamond"/>
          <w:bCs/>
          <w:color w:val="000000" w:themeColor="text1"/>
        </w:rPr>
      </w:pPr>
      <w:r w:rsidRPr="001E7605">
        <w:rPr>
          <w:rFonts w:ascii="Garamond" w:hAnsi="Garamond"/>
          <w:bCs/>
          <w:color w:val="000000" w:themeColor="text1"/>
        </w:rPr>
        <w:t>Email: cvalenzuela@iib.uam.es</w:t>
      </w:r>
    </w:p>
    <w:p w14:paraId="1FD24AC4" w14:textId="77777777" w:rsidR="009360C1" w:rsidRPr="001E7605" w:rsidRDefault="009360C1" w:rsidP="009360C1">
      <w:pPr>
        <w:spacing w:after="240" w:line="276" w:lineRule="auto"/>
        <w:jc w:val="both"/>
        <w:rPr>
          <w:rFonts w:ascii="Garamond" w:hAnsi="Garamond"/>
          <w:bCs/>
          <w:color w:val="000000" w:themeColor="text1"/>
        </w:rPr>
      </w:pPr>
      <w:r w:rsidRPr="001E7605">
        <w:rPr>
          <w:rFonts w:ascii="Garamond" w:hAnsi="Garamond"/>
          <w:bCs/>
          <w:color w:val="000000" w:themeColor="text1"/>
        </w:rPr>
        <w:t>Paula G. Socuéllamos, PhD.</w:t>
      </w:r>
    </w:p>
    <w:p w14:paraId="618B0CE1" w14:textId="77777777" w:rsidR="009360C1" w:rsidRPr="001E7605" w:rsidRDefault="009360C1" w:rsidP="009360C1">
      <w:pPr>
        <w:spacing w:line="276" w:lineRule="auto"/>
        <w:jc w:val="both"/>
        <w:rPr>
          <w:rFonts w:ascii="Garamond" w:hAnsi="Garamond"/>
          <w:bCs/>
          <w:color w:val="000000" w:themeColor="text1"/>
        </w:rPr>
      </w:pPr>
      <w:r w:rsidRPr="001E7605">
        <w:rPr>
          <w:rFonts w:ascii="Garamond" w:hAnsi="Garamond"/>
          <w:bCs/>
          <w:color w:val="000000" w:themeColor="text1"/>
        </w:rPr>
        <w:t xml:space="preserve">Centro Nacional de Investigaciones Cardiovasculares (CNIC) </w:t>
      </w:r>
    </w:p>
    <w:p w14:paraId="2E79FF1D" w14:textId="77777777" w:rsidR="009360C1" w:rsidRPr="001E7605" w:rsidRDefault="009360C1" w:rsidP="009360C1">
      <w:pPr>
        <w:spacing w:line="276" w:lineRule="auto"/>
        <w:jc w:val="both"/>
        <w:rPr>
          <w:rFonts w:ascii="Garamond" w:hAnsi="Garamond"/>
          <w:bCs/>
          <w:color w:val="000000" w:themeColor="text1"/>
          <w:lang w:val="en-US"/>
        </w:rPr>
      </w:pPr>
      <w:r w:rsidRPr="001E7605">
        <w:rPr>
          <w:rFonts w:ascii="Garamond" w:hAnsi="Garamond"/>
          <w:bCs/>
          <w:color w:val="000000" w:themeColor="text1"/>
          <w:lang w:val="en-US"/>
        </w:rPr>
        <w:t xml:space="preserve">Melchor Fernández Almagro 3, 28029 Madrid, Spain </w:t>
      </w:r>
    </w:p>
    <w:p w14:paraId="193CBA2E" w14:textId="77777777" w:rsidR="009360C1" w:rsidRPr="001E7605" w:rsidRDefault="009360C1" w:rsidP="009360C1">
      <w:pPr>
        <w:spacing w:line="276" w:lineRule="auto"/>
        <w:jc w:val="both"/>
        <w:rPr>
          <w:rFonts w:ascii="Garamond" w:hAnsi="Garamond"/>
          <w:bCs/>
          <w:color w:val="000000" w:themeColor="text1"/>
          <w:lang w:val="en-US"/>
        </w:rPr>
      </w:pPr>
      <w:r w:rsidRPr="001E7605">
        <w:rPr>
          <w:rFonts w:ascii="Garamond" w:hAnsi="Garamond"/>
          <w:bCs/>
          <w:color w:val="000000" w:themeColor="text1"/>
          <w:lang w:val="en-US"/>
        </w:rPr>
        <w:t xml:space="preserve">Email: paula.garcia@cnic.es  </w:t>
      </w:r>
    </w:p>
    <w:p w14:paraId="49BF247E" w14:textId="77777777" w:rsidR="009360C1" w:rsidRPr="001E7605" w:rsidRDefault="009360C1" w:rsidP="009360C1">
      <w:pPr>
        <w:spacing w:line="276" w:lineRule="auto"/>
        <w:jc w:val="both"/>
        <w:rPr>
          <w:rFonts w:ascii="Garamond" w:hAnsi="Garamond"/>
          <w:bCs/>
          <w:lang w:val="en-US"/>
        </w:rPr>
      </w:pPr>
    </w:p>
    <w:p w14:paraId="43281EDA" w14:textId="77777777" w:rsidR="009360C1" w:rsidRPr="001E7605" w:rsidRDefault="009360C1" w:rsidP="009360C1">
      <w:pPr>
        <w:pStyle w:val="TextoTesis"/>
      </w:pPr>
    </w:p>
    <w:p w14:paraId="7E4B8BD8" w14:textId="77777777" w:rsidR="005F37DB" w:rsidRPr="001E7605" w:rsidRDefault="005F37DB" w:rsidP="009360C1">
      <w:pPr>
        <w:pStyle w:val="TextoTesis"/>
      </w:pPr>
    </w:p>
    <w:p w14:paraId="29BA3AE2" w14:textId="77777777" w:rsidR="005F37DB" w:rsidRPr="001E7605" w:rsidRDefault="005F37DB" w:rsidP="00FF57DD">
      <w:pPr>
        <w:pStyle w:val="TextoTesis"/>
      </w:pPr>
    </w:p>
    <w:p w14:paraId="110FDFAA" w14:textId="2EE697BE" w:rsidR="00F26BE2" w:rsidRPr="001E7605" w:rsidRDefault="006D4603" w:rsidP="00FF720A">
      <w:pPr>
        <w:pStyle w:val="Ttulo3Tesis"/>
      </w:pPr>
      <w:r w:rsidRPr="001E7605">
        <w:lastRenderedPageBreak/>
        <w:t>DETAILED METHODS</w:t>
      </w:r>
      <w:bookmarkStart w:id="1" w:name="_Toc145663628"/>
      <w:bookmarkEnd w:id="0"/>
    </w:p>
    <w:p w14:paraId="604BB072" w14:textId="77777777" w:rsidR="001426FC" w:rsidRPr="001E7605" w:rsidRDefault="001426FC" w:rsidP="00FF720A">
      <w:pPr>
        <w:pStyle w:val="Ttulo3Tesis"/>
      </w:pPr>
      <w:r w:rsidRPr="001E7605">
        <w:t>Sex as a biological variable</w:t>
      </w:r>
    </w:p>
    <w:p w14:paraId="79292EC7" w14:textId="52BCF761" w:rsidR="001426FC" w:rsidRPr="001E7605" w:rsidRDefault="001426FC" w:rsidP="00FF720A">
      <w:pPr>
        <w:pStyle w:val="Ttulo3Tesis"/>
      </w:pPr>
      <w:r w:rsidRPr="001E7605">
        <w:t>Human cardiac samples from patients in SR, AF PX and AF PM were included from both sexes, but we did not include sex as a variable in the analysis because we could not assure an equal distribution due to the small number of samples in each group. Regarding mouse models, our study examined male mice because male animals exhibited less variability in phenotype.</w:t>
      </w:r>
    </w:p>
    <w:p w14:paraId="64A712B4" w14:textId="4D02A2B7" w:rsidR="000B48C9" w:rsidRPr="001E7605" w:rsidRDefault="00F26BE2" w:rsidP="00FF720A">
      <w:pPr>
        <w:pStyle w:val="Ttulo3Tesis"/>
      </w:pPr>
      <w:r w:rsidRPr="001E7605">
        <w:t>Cell culture</w:t>
      </w:r>
      <w:bookmarkEnd w:id="1"/>
      <w:r w:rsidRPr="001E7605">
        <w:t>, plasmids and transfection</w:t>
      </w:r>
    </w:p>
    <w:p w14:paraId="3C67E941" w14:textId="07D2215F" w:rsidR="008801B0" w:rsidRPr="001E7605" w:rsidRDefault="008801B0" w:rsidP="00337DDE">
      <w:pPr>
        <w:pStyle w:val="Textotesis0"/>
        <w:spacing w:line="276" w:lineRule="auto"/>
        <w:ind w:firstLine="0"/>
      </w:pPr>
      <w:r w:rsidRPr="001E7605">
        <w:rPr>
          <w:color w:val="000000" w:themeColor="text1"/>
          <w:lang w:val="en-GB"/>
        </w:rPr>
        <w:t>All cell lines were obtained from the American Type Culture Collection (Rockville, MD, US) and they were growth at 37 ºC in different culture mediums under a 5% CO</w:t>
      </w:r>
      <w:r w:rsidRPr="001E7605">
        <w:rPr>
          <w:color w:val="000000" w:themeColor="text1"/>
          <w:vertAlign w:val="subscript"/>
          <w:lang w:val="en-GB"/>
        </w:rPr>
        <w:t>2</w:t>
      </w:r>
      <w:r w:rsidRPr="001E7605">
        <w:rPr>
          <w:color w:val="000000" w:themeColor="text1"/>
          <w:lang w:val="en-GB"/>
        </w:rPr>
        <w:t xml:space="preserve"> humidified atmosphere. The cell culture medium was changed every 2-3 days and the cells were </w:t>
      </w:r>
      <w:r w:rsidR="00A974DD" w:rsidRPr="001E7605">
        <w:rPr>
          <w:color w:val="000000" w:themeColor="text1"/>
          <w:lang w:val="en-GB"/>
        </w:rPr>
        <w:t>treated to be reseed</w:t>
      </w:r>
      <w:r w:rsidRPr="001E7605">
        <w:rPr>
          <w:color w:val="000000" w:themeColor="text1"/>
          <w:lang w:val="en-GB"/>
        </w:rPr>
        <w:t xml:space="preserve"> (</w:t>
      </w:r>
      <w:proofErr w:type="spellStart"/>
      <w:r w:rsidRPr="001E7605">
        <w:rPr>
          <w:color w:val="000000" w:themeColor="text1"/>
          <w:lang w:val="en-GB"/>
        </w:rPr>
        <w:t>TrypLE</w:t>
      </w:r>
      <w:r w:rsidRPr="001E7605">
        <w:rPr>
          <w:color w:val="000000" w:themeColor="text1"/>
          <w:vertAlign w:val="superscript"/>
          <w:lang w:val="en-GB"/>
        </w:rPr>
        <w:t>TM</w:t>
      </w:r>
      <w:proofErr w:type="spellEnd"/>
      <w:r w:rsidRPr="001E7605">
        <w:rPr>
          <w:color w:val="000000" w:themeColor="text1"/>
          <w:lang w:val="en-GB"/>
        </w:rPr>
        <w:t xml:space="preserve"> Express; Life Technologies) every 4-5 days.</w:t>
      </w:r>
      <w:r w:rsidR="00314148" w:rsidRPr="001E7605">
        <w:rPr>
          <w:color w:val="000000" w:themeColor="text1"/>
          <w:lang w:val="en-GB"/>
        </w:rPr>
        <w:t xml:space="preserve"> </w:t>
      </w:r>
      <w:r w:rsidRPr="001E7605">
        <w:rPr>
          <w:color w:val="000000" w:themeColor="text1"/>
          <w:lang w:val="en-GB"/>
        </w:rPr>
        <w:t xml:space="preserve">HEK293, COS7 and </w:t>
      </w:r>
      <w:proofErr w:type="spellStart"/>
      <w:r w:rsidRPr="001E7605">
        <w:rPr>
          <w:i/>
          <w:iCs/>
          <w:color w:val="000000" w:themeColor="text1"/>
          <w:lang w:val="en-GB"/>
        </w:rPr>
        <w:t>Ltk</w:t>
      </w:r>
      <w:proofErr w:type="spellEnd"/>
      <w:r w:rsidRPr="001E7605">
        <w:rPr>
          <w:color w:val="000000" w:themeColor="text1"/>
          <w:lang w:val="en-GB"/>
        </w:rPr>
        <w:t xml:space="preserve">- cells were cultured in </w:t>
      </w:r>
      <w:r w:rsidR="00670E3F" w:rsidRPr="001E7605">
        <w:rPr>
          <w:color w:val="000000" w:themeColor="text1"/>
          <w:lang w:val="en-GB"/>
        </w:rPr>
        <w:t xml:space="preserve">supplemented </w:t>
      </w:r>
      <w:r w:rsidRPr="001E7605">
        <w:rPr>
          <w:color w:val="000000" w:themeColor="text1"/>
          <w:lang w:val="en-GB"/>
        </w:rPr>
        <w:t xml:space="preserve">DMEM </w:t>
      </w:r>
      <w:r w:rsidR="00670E3F" w:rsidRPr="001E7605">
        <w:rPr>
          <w:color w:val="000000" w:themeColor="text1"/>
          <w:lang w:val="en-GB"/>
        </w:rPr>
        <w:t>(</w:t>
      </w:r>
      <w:r w:rsidRPr="001E7605">
        <w:rPr>
          <w:color w:val="000000" w:themeColor="text1"/>
          <w:lang w:val="en-GB"/>
        </w:rPr>
        <w:t xml:space="preserve">with 10% foetal bovine serum </w:t>
      </w:r>
      <w:r w:rsidR="00670E3F" w:rsidRPr="001E7605">
        <w:rPr>
          <w:color w:val="000000" w:themeColor="text1"/>
          <w:lang w:val="en-GB"/>
        </w:rPr>
        <w:t>[</w:t>
      </w:r>
      <w:r w:rsidRPr="001E7605">
        <w:rPr>
          <w:color w:val="000000" w:themeColor="text1"/>
          <w:lang w:val="en-GB"/>
        </w:rPr>
        <w:t>FBS</w:t>
      </w:r>
      <w:r w:rsidR="00670E3F" w:rsidRPr="001E7605">
        <w:rPr>
          <w:color w:val="000000" w:themeColor="text1"/>
          <w:lang w:val="en-GB"/>
        </w:rPr>
        <w:t>]</w:t>
      </w:r>
      <w:r w:rsidRPr="001E7605">
        <w:rPr>
          <w:color w:val="000000" w:themeColor="text1"/>
          <w:lang w:val="en-GB"/>
        </w:rPr>
        <w:t xml:space="preserve"> and antibiotics </w:t>
      </w:r>
      <w:r w:rsidR="00670E3F" w:rsidRPr="001E7605">
        <w:rPr>
          <w:color w:val="000000" w:themeColor="text1"/>
          <w:lang w:val="en-GB"/>
        </w:rPr>
        <w:t>[</w:t>
      </w:r>
      <w:r w:rsidRPr="001E7605">
        <w:rPr>
          <w:color w:val="000000" w:themeColor="text1"/>
          <w:lang w:val="en-GB"/>
        </w:rPr>
        <w:t xml:space="preserve">100 U/ml penicillin and 100 </w:t>
      </w:r>
      <w:proofErr w:type="spellStart"/>
      <w:r w:rsidRPr="001E7605">
        <w:rPr>
          <w:color w:val="000000" w:themeColor="text1"/>
          <w:lang w:val="en-GB"/>
        </w:rPr>
        <w:t>μg</w:t>
      </w:r>
      <w:proofErr w:type="spellEnd"/>
      <w:r w:rsidRPr="001E7605">
        <w:rPr>
          <w:color w:val="000000" w:themeColor="text1"/>
          <w:lang w:val="en-GB"/>
        </w:rPr>
        <w:t>/ml streptomycin; all from Gibco, Paisley, UK</w:t>
      </w:r>
      <w:r w:rsidR="00670E3F" w:rsidRPr="001E7605">
        <w:rPr>
          <w:color w:val="000000" w:themeColor="text1"/>
          <w:lang w:val="en-GB"/>
        </w:rPr>
        <w:t>])</w:t>
      </w:r>
      <w:r w:rsidRPr="001E7605">
        <w:rPr>
          <w:color w:val="000000" w:themeColor="text1"/>
          <w:lang w:val="en-GB"/>
        </w:rPr>
        <w:t>. HEK293 cells were used in electrophysiology experiments for K</w:t>
      </w:r>
      <w:r w:rsidRPr="001E7605">
        <w:rPr>
          <w:color w:val="000000" w:themeColor="text1"/>
          <w:vertAlign w:val="subscript"/>
          <w:lang w:val="en-GB"/>
        </w:rPr>
        <w:t>V</w:t>
      </w:r>
      <w:r w:rsidRPr="001E7605">
        <w:rPr>
          <w:color w:val="000000" w:themeColor="text1"/>
          <w:lang w:val="en-GB"/>
        </w:rPr>
        <w:t>1.5 channels due to its lack of K</w:t>
      </w:r>
      <w:r w:rsidRPr="001E7605">
        <w:rPr>
          <w:color w:val="000000" w:themeColor="text1"/>
          <w:vertAlign w:val="subscript"/>
          <w:lang w:val="en-GB"/>
        </w:rPr>
        <w:t>V</w:t>
      </w:r>
      <w:r w:rsidRPr="001E7605">
        <w:rPr>
          <w:color w:val="000000" w:themeColor="text1"/>
          <w:lang w:val="en-GB"/>
        </w:rPr>
        <w:sym w:font="Symbol" w:char="F062"/>
      </w:r>
      <w:r w:rsidRPr="001E7605">
        <w:rPr>
          <w:color w:val="000000" w:themeColor="text1"/>
          <w:lang w:val="en-GB"/>
        </w:rPr>
        <w:t xml:space="preserve"> subunits </w:t>
      </w:r>
      <w:r w:rsidRPr="001E7605">
        <w:rPr>
          <w:color w:val="000000" w:themeColor="text1"/>
          <w:lang w:val="en-GB"/>
        </w:rPr>
        <w:fldChar w:fldCharType="begin"/>
      </w:r>
      <w:r w:rsidR="00551D21" w:rsidRPr="001E7605">
        <w:rPr>
          <w:color w:val="000000" w:themeColor="text1"/>
          <w:lang w:val="en-GB"/>
        </w:rPr>
        <w:instrText xml:space="preserve"> ADDIN ZOTERO_ITEM CSL_CITATION {"citationID":"5hdDOyuW","properties":{"formattedCitation":"\\super 1\\nosupersub{}","plainCitation":"1","noteIndex":0},"citationItems":[{"id":309,"uris":["http://zotero.org/users/10967336/items/NRKY7ELZ"],"itemData":{"id":309,"type":"article-journal","container-title":"Journal of Biological Chemistry","DOI":"10.1074/jbc.271.5.2406","ISSN":"00219258","issue":"5","journalAbbreviation":"Journal of Biological Chemistry","language":"en","page":"2406-2412","source":"DOI.org (Crossref)","title":"Functional Differences in Kv1.5 Currents Expressed in Mammalian Cell Lines Are Due to the Presence of Endogenous Kvβ2.1 Subunits","volume":"271","author":[{"family":"Uebele","given":"Victor N."},{"family":"England","given":"Sarah K."},{"family":"Chaudhary","given":"Archana"},{"family":"Tamkun","given":"Michael M."},{"family":"Snyders","given":"Dirk J."}],"issued":{"date-parts":[["1996",2]]}}}],"schema":"https://github.com/citation-style-language/schema/raw/master/csl-citation.json"} </w:instrText>
      </w:r>
      <w:r w:rsidRPr="001E7605">
        <w:rPr>
          <w:color w:val="000000" w:themeColor="text1"/>
          <w:lang w:val="en-GB"/>
        </w:rPr>
        <w:fldChar w:fldCharType="separate"/>
      </w:r>
      <w:r w:rsidR="00B47094" w:rsidRPr="001E7605">
        <w:rPr>
          <w:rFonts w:cs="Times New Roman"/>
          <w:szCs w:val="24"/>
          <w:vertAlign w:val="superscript"/>
        </w:rPr>
        <w:t>1</w:t>
      </w:r>
      <w:r w:rsidRPr="001E7605">
        <w:rPr>
          <w:color w:val="000000" w:themeColor="text1"/>
          <w:lang w:val="en-GB"/>
        </w:rPr>
        <w:fldChar w:fldCharType="end"/>
      </w:r>
      <w:r w:rsidRPr="001E7605">
        <w:rPr>
          <w:color w:val="000000" w:themeColor="text1"/>
          <w:lang w:val="en-GB"/>
        </w:rPr>
        <w:t>, COS</w:t>
      </w:r>
      <w:r w:rsidR="00A974DD" w:rsidRPr="001E7605">
        <w:rPr>
          <w:color w:val="000000" w:themeColor="text1"/>
          <w:lang w:val="en-GB"/>
        </w:rPr>
        <w:t>-</w:t>
      </w:r>
      <w:r w:rsidRPr="001E7605">
        <w:rPr>
          <w:color w:val="000000" w:themeColor="text1"/>
          <w:lang w:val="en-GB"/>
        </w:rPr>
        <w:t>7 cells were used for immunofluorescence assays</w:t>
      </w:r>
      <w:r w:rsidR="00A974DD" w:rsidRPr="001E7605">
        <w:rPr>
          <w:color w:val="000000" w:themeColor="text1"/>
          <w:lang w:val="en-GB"/>
        </w:rPr>
        <w:t>, as they constitute an stablished model in cellular biology</w:t>
      </w:r>
      <w:r w:rsidRPr="001E7605">
        <w:rPr>
          <w:color w:val="000000" w:themeColor="text1"/>
          <w:lang w:val="en-GB"/>
        </w:rPr>
        <w:t>. Th</w:t>
      </w:r>
      <w:r w:rsidR="00C212CA" w:rsidRPr="001E7605">
        <w:rPr>
          <w:color w:val="000000" w:themeColor="text1"/>
          <w:lang w:val="en-GB"/>
        </w:rPr>
        <w:t>e</w:t>
      </w:r>
      <w:r w:rsidR="00670E3F" w:rsidRPr="001E7605">
        <w:rPr>
          <w:color w:val="000000" w:themeColor="text1"/>
          <w:lang w:val="en-GB"/>
        </w:rPr>
        <w:t xml:space="preserve"> </w:t>
      </w:r>
      <w:proofErr w:type="spellStart"/>
      <w:r w:rsidRPr="001E7605">
        <w:rPr>
          <w:i/>
          <w:color w:val="000000" w:themeColor="text1"/>
          <w:lang w:val="en-GB"/>
        </w:rPr>
        <w:t>Ltk</w:t>
      </w:r>
      <w:proofErr w:type="spellEnd"/>
      <w:r w:rsidRPr="001E7605">
        <w:rPr>
          <w:i/>
          <w:color w:val="000000" w:themeColor="text1"/>
          <w:vertAlign w:val="superscript"/>
          <w:lang w:val="en-GB"/>
        </w:rPr>
        <w:t>−</w:t>
      </w:r>
      <w:r w:rsidRPr="001E7605">
        <w:rPr>
          <w:color w:val="000000" w:themeColor="text1"/>
          <w:lang w:val="en-GB"/>
        </w:rPr>
        <w:t xml:space="preserve"> cell line </w:t>
      </w:r>
      <w:r w:rsidR="00670E3F" w:rsidRPr="001E7605">
        <w:rPr>
          <w:color w:val="000000" w:themeColor="text1"/>
          <w:lang w:val="en-GB"/>
        </w:rPr>
        <w:t xml:space="preserve">stably transfected </w:t>
      </w:r>
      <w:r w:rsidR="008C6E76" w:rsidRPr="001E7605">
        <w:rPr>
          <w:color w:val="000000" w:themeColor="text1"/>
          <w:lang w:val="en-GB"/>
        </w:rPr>
        <w:t>with the gene encoding K</w:t>
      </w:r>
      <w:r w:rsidR="008C6E76" w:rsidRPr="001E7605">
        <w:rPr>
          <w:color w:val="000000" w:themeColor="text1"/>
          <w:vertAlign w:val="subscript"/>
          <w:lang w:val="en-GB"/>
        </w:rPr>
        <w:t>V</w:t>
      </w:r>
      <w:r w:rsidR="008C6E76" w:rsidRPr="001E7605">
        <w:rPr>
          <w:color w:val="000000" w:themeColor="text1"/>
          <w:lang w:val="en-GB"/>
        </w:rPr>
        <w:t>1.5 channel were cultured</w:t>
      </w:r>
      <w:r w:rsidR="00670E3F" w:rsidRPr="001E7605">
        <w:rPr>
          <w:color w:val="000000" w:themeColor="text1"/>
          <w:lang w:val="en-GB"/>
        </w:rPr>
        <w:t xml:space="preserve"> in</w:t>
      </w:r>
      <w:r w:rsidRPr="001E7605">
        <w:rPr>
          <w:color w:val="000000" w:themeColor="text1"/>
          <w:lang w:val="en-GB"/>
        </w:rPr>
        <w:t xml:space="preserve"> </w:t>
      </w:r>
      <w:r w:rsidR="008C6E76" w:rsidRPr="001E7605">
        <w:rPr>
          <w:color w:val="000000" w:themeColor="text1"/>
          <w:lang w:val="en-GB"/>
        </w:rPr>
        <w:t>supplemented</w:t>
      </w:r>
      <w:r w:rsidR="00670E3F" w:rsidRPr="001E7605">
        <w:rPr>
          <w:color w:val="000000" w:themeColor="text1"/>
          <w:lang w:val="en-GB"/>
        </w:rPr>
        <w:t xml:space="preserve"> DMEM</w:t>
      </w:r>
      <w:r w:rsidR="008C6E76" w:rsidRPr="001E7605">
        <w:rPr>
          <w:color w:val="000000" w:themeColor="text1"/>
          <w:lang w:val="en-GB"/>
        </w:rPr>
        <w:t xml:space="preserve"> with</w:t>
      </w:r>
      <w:r w:rsidRPr="001E7605">
        <w:rPr>
          <w:color w:val="000000" w:themeColor="text1"/>
          <w:lang w:val="en-GB"/>
        </w:rPr>
        <w:t xml:space="preserve"> 0.25 mg/ml G418 (Roche, 04727878001)</w:t>
      </w:r>
      <w:r w:rsidR="00C212CA" w:rsidRPr="001E7605">
        <w:rPr>
          <w:color w:val="000000" w:themeColor="text1"/>
          <w:lang w:val="en-GB"/>
        </w:rPr>
        <w:t>,</w:t>
      </w:r>
      <w:r w:rsidR="00337DDE" w:rsidRPr="001E7605">
        <w:rPr>
          <w:color w:val="000000" w:themeColor="text1"/>
          <w:lang w:val="en-GB"/>
        </w:rPr>
        <w:t xml:space="preserve"> and</w:t>
      </w:r>
      <w:r w:rsidRPr="001E7605">
        <w:rPr>
          <w:color w:val="000000" w:themeColor="text1"/>
          <w:lang w:val="en-GB"/>
        </w:rPr>
        <w:t xml:space="preserve"> K</w:t>
      </w:r>
      <w:r w:rsidRPr="001E7605">
        <w:rPr>
          <w:color w:val="000000" w:themeColor="text1"/>
          <w:vertAlign w:val="subscript"/>
          <w:lang w:val="en-GB"/>
        </w:rPr>
        <w:t>V</w:t>
      </w:r>
      <w:r w:rsidRPr="001E7605">
        <w:rPr>
          <w:color w:val="000000" w:themeColor="text1"/>
          <w:lang w:val="en-GB"/>
        </w:rPr>
        <w:t xml:space="preserve">1.5 expression was induced with 2 </w:t>
      </w:r>
      <w:r w:rsidRPr="001E7605">
        <w:rPr>
          <w:rFonts w:ascii="Times New Roman" w:hAnsi="Times New Roman" w:cs="Times New Roman"/>
          <w:color w:val="000000" w:themeColor="text1"/>
          <w:lang w:val="en-GB"/>
        </w:rPr>
        <w:t>µ</w:t>
      </w:r>
      <w:r w:rsidRPr="001E7605">
        <w:rPr>
          <w:color w:val="000000" w:themeColor="text1"/>
          <w:lang w:val="en-GB"/>
        </w:rPr>
        <w:t xml:space="preserve">M dexamethasone (Sigma-Aldrich) for 24 h </w:t>
      </w:r>
      <w:r w:rsidRPr="001E7605">
        <w:rPr>
          <w:color w:val="000000" w:themeColor="text1"/>
          <w:lang w:val="en-GB"/>
        </w:rPr>
        <w:fldChar w:fldCharType="begin"/>
      </w:r>
      <w:r w:rsidR="00551D21" w:rsidRPr="001E7605">
        <w:rPr>
          <w:color w:val="000000" w:themeColor="text1"/>
          <w:lang w:val="en-GB"/>
        </w:rPr>
        <w:instrText xml:space="preserve"> ADDIN ZOTERO_ITEM CSL_CITATION {"citationID":"eiJlYW3H","properties":{"formattedCitation":"\\super 1\\nosupersub{}","plainCitation":"1","noteIndex":0},"citationItems":[{"id":309,"uris":["http://zotero.org/users/10967336/items/NRKY7ELZ"],"itemData":{"id":309,"type":"article-journal","container-title":"Journal of Biological Chemistry","DOI":"10.1074/jbc.271.5.2406","ISSN":"00219258","issue":"5","journalAbbreviation":"Journal of Biological Chemistry","language":"en","page":"2406-2412","source":"DOI.org (Crossref)","title":"Functional Differences in Kv1.5 Currents Expressed in Mammalian Cell Lines Are Due to the Presence of Endogenous Kvβ2.1 Subunits","volume":"271","author":[{"family":"Uebele","given":"Victor N."},{"family":"England","given":"Sarah K."},{"family":"Chaudhary","given":"Archana"},{"family":"Tamkun","given":"Michael M."},{"family":"Snyders","given":"Dirk J."}],"issued":{"date-parts":[["1996",2]]}}}],"schema":"https://github.com/citation-style-language/schema/raw/master/csl-citation.json"} </w:instrText>
      </w:r>
      <w:r w:rsidRPr="001E7605">
        <w:rPr>
          <w:color w:val="000000" w:themeColor="text1"/>
          <w:lang w:val="en-GB"/>
        </w:rPr>
        <w:fldChar w:fldCharType="separate"/>
      </w:r>
      <w:r w:rsidR="00B47094" w:rsidRPr="001E7605">
        <w:rPr>
          <w:rFonts w:cs="Times New Roman"/>
          <w:szCs w:val="24"/>
          <w:vertAlign w:val="superscript"/>
        </w:rPr>
        <w:t>1</w:t>
      </w:r>
      <w:r w:rsidRPr="001E7605">
        <w:rPr>
          <w:color w:val="000000" w:themeColor="text1"/>
          <w:lang w:val="en-GB"/>
        </w:rPr>
        <w:fldChar w:fldCharType="end"/>
      </w:r>
      <w:r w:rsidR="00337DDE" w:rsidRPr="001E7605">
        <w:rPr>
          <w:color w:val="000000" w:themeColor="text1"/>
          <w:lang w:val="en-GB"/>
        </w:rPr>
        <w:t>. This cell line</w:t>
      </w:r>
      <w:r w:rsidR="008C6E76" w:rsidRPr="001E7605">
        <w:rPr>
          <w:color w:val="000000" w:themeColor="text1"/>
          <w:lang w:val="en-GB"/>
        </w:rPr>
        <w:t xml:space="preserve"> was used </w:t>
      </w:r>
      <w:r w:rsidR="00337DDE" w:rsidRPr="001E7605">
        <w:rPr>
          <w:color w:val="000000" w:themeColor="text1"/>
          <w:lang w:val="en-GB"/>
        </w:rPr>
        <w:t xml:space="preserve">for </w:t>
      </w:r>
      <w:r w:rsidR="000409C0" w:rsidRPr="001E7605">
        <w:rPr>
          <w:color w:val="000000" w:themeColor="text1"/>
          <w:lang w:val="en-GB"/>
        </w:rPr>
        <w:t>the recording of</w:t>
      </w:r>
      <w:r w:rsidR="000409C0" w:rsidRPr="001E7605">
        <w:rPr>
          <w:color w:val="000000" w:themeColor="text1"/>
        </w:rPr>
        <w:t xml:space="preserve"> K</w:t>
      </w:r>
      <w:r w:rsidR="000409C0" w:rsidRPr="001E7605">
        <w:rPr>
          <w:color w:val="000000" w:themeColor="text1"/>
          <w:vertAlign w:val="subscript"/>
        </w:rPr>
        <w:t>V</w:t>
      </w:r>
      <w:r w:rsidR="000409C0" w:rsidRPr="001E7605">
        <w:rPr>
          <w:color w:val="000000" w:themeColor="text1"/>
        </w:rPr>
        <w:t>1.5/K</w:t>
      </w:r>
      <w:r w:rsidR="000409C0" w:rsidRPr="001E7605">
        <w:rPr>
          <w:color w:val="000000" w:themeColor="text1"/>
          <w:vertAlign w:val="subscript"/>
        </w:rPr>
        <w:t>V</w:t>
      </w:r>
      <w:r w:rsidR="000409C0" w:rsidRPr="001E7605">
        <w:rPr>
          <w:color w:val="000000" w:themeColor="text1"/>
          <w:lang w:val="es-ES"/>
        </w:rPr>
        <w:t>β</w:t>
      </w:r>
      <w:r w:rsidR="000409C0" w:rsidRPr="001E7605">
        <w:rPr>
          <w:color w:val="000000" w:themeColor="text1"/>
        </w:rPr>
        <w:t>2.1 currents</w:t>
      </w:r>
      <w:r w:rsidR="000409C0" w:rsidRPr="001E7605">
        <w:rPr>
          <w:color w:val="000000" w:themeColor="text1"/>
          <w:lang w:val="en-GB"/>
        </w:rPr>
        <w:t xml:space="preserve"> </w:t>
      </w:r>
      <w:r w:rsidR="008C6E76" w:rsidRPr="001E7605">
        <w:rPr>
          <w:color w:val="000000" w:themeColor="text1"/>
          <w:lang w:val="en-GB"/>
        </w:rPr>
        <w:t>experiments</w:t>
      </w:r>
      <w:r w:rsidR="00337DDE" w:rsidRPr="001E7605">
        <w:rPr>
          <w:color w:val="000000" w:themeColor="text1"/>
          <w:lang w:val="en-GB"/>
        </w:rPr>
        <w:t xml:space="preserve">. </w:t>
      </w:r>
      <w:r w:rsidRPr="001E7605">
        <w:t xml:space="preserve">The Chinese Hamster Ovary CHO-K1 cells (CHO) were cultured in </w:t>
      </w:r>
      <w:proofErr w:type="spellStart"/>
      <w:r w:rsidRPr="001E7605">
        <w:t>Iscove’s</w:t>
      </w:r>
      <w:proofErr w:type="spellEnd"/>
      <w:r w:rsidRPr="001E7605">
        <w:t xml:space="preserve"> modified Eagle’s medium supplemented with 10% (v/v) FBS, 1% (v/v) L-Glutamine, and antibiotics (100 U/ml penicillin and 100 </w:t>
      </w:r>
      <w:proofErr w:type="spellStart"/>
      <w:r w:rsidRPr="001E7605">
        <w:t>μg</w:t>
      </w:r>
      <w:proofErr w:type="spellEnd"/>
      <w:r w:rsidRPr="001E7605">
        <w:t>/ml streptomycin; all from Gibco, Paisley, UK). CHO-K1 cells were used in experiments with K</w:t>
      </w:r>
      <w:r w:rsidRPr="001E7605">
        <w:rPr>
          <w:vertAlign w:val="subscript"/>
        </w:rPr>
        <w:t>V</w:t>
      </w:r>
      <w:r w:rsidRPr="001E7605">
        <w:t>4.3 and K</w:t>
      </w:r>
      <w:r w:rsidRPr="001E7605">
        <w:rPr>
          <w:vertAlign w:val="subscript"/>
        </w:rPr>
        <w:t>V</w:t>
      </w:r>
      <w:r w:rsidRPr="001E7605">
        <w:t>4.2 channels due to its lack of endogenous potassium currents.</w:t>
      </w:r>
    </w:p>
    <w:p w14:paraId="662DC9E4" w14:textId="6BA97581" w:rsidR="00AC1887" w:rsidRPr="001E7605" w:rsidRDefault="006B1BE2" w:rsidP="00141395">
      <w:pPr>
        <w:pStyle w:val="Textotesispuntos"/>
        <w:numPr>
          <w:ilvl w:val="0"/>
          <w:numId w:val="0"/>
        </w:numPr>
      </w:pPr>
      <w:r w:rsidRPr="001E7605">
        <w:t xml:space="preserve">For electrophysiological </w:t>
      </w:r>
      <w:r w:rsidR="00591718" w:rsidRPr="001E7605">
        <w:t xml:space="preserve">and flow cytometry </w:t>
      </w:r>
      <w:r w:rsidRPr="001E7605">
        <w:t>experiments</w:t>
      </w:r>
      <w:r w:rsidR="00CA3975" w:rsidRPr="001E7605">
        <w:t>, the following constructions were used</w:t>
      </w:r>
      <w:r w:rsidR="00141395" w:rsidRPr="001E7605">
        <w:t>:</w:t>
      </w:r>
      <w:r w:rsidR="00CA3975" w:rsidRPr="001E7605">
        <w:t xml:space="preserve"> </w:t>
      </w:r>
      <w:r w:rsidR="0007407C" w:rsidRPr="001E7605">
        <w:t xml:space="preserve">Kv1.5 </w:t>
      </w:r>
      <w:r w:rsidR="0073332E" w:rsidRPr="001E7605">
        <w:t xml:space="preserve">cloned </w:t>
      </w:r>
      <w:r w:rsidR="0007407C" w:rsidRPr="001E7605">
        <w:t xml:space="preserve">in </w:t>
      </w:r>
      <w:proofErr w:type="spellStart"/>
      <w:r w:rsidR="0007407C" w:rsidRPr="001E7605">
        <w:t>pRRL</w:t>
      </w:r>
      <w:proofErr w:type="spellEnd"/>
      <w:r w:rsidR="0007407C" w:rsidRPr="001E7605">
        <w:t xml:space="preserve"> </w:t>
      </w:r>
      <w:r w:rsidR="0073332E" w:rsidRPr="001E7605">
        <w:t>CMV-</w:t>
      </w:r>
      <w:r w:rsidR="0007407C" w:rsidRPr="001E7605">
        <w:t>IRES</w:t>
      </w:r>
      <w:r w:rsidR="0073332E" w:rsidRPr="001E7605">
        <w:t>-</w:t>
      </w:r>
      <w:r w:rsidR="0007407C" w:rsidRPr="001E7605">
        <w:t>GFP</w:t>
      </w:r>
      <w:r w:rsidR="00A974DD" w:rsidRPr="001E7605">
        <w:t xml:space="preserve"> </w:t>
      </w:r>
      <w:r w:rsidR="00A974DD" w:rsidRPr="001E7605">
        <w:fldChar w:fldCharType="begin"/>
      </w:r>
      <w:r w:rsidR="00A974DD" w:rsidRPr="001E7605">
        <w:instrText xml:space="preserve"> ADDIN ZOTERO_ITEM CSL_CITATION {"citationID":"Uo6VjXx4","properties":{"formattedCitation":"\\super 2\\nosupersub{}","plainCitation":"2","noteIndex":0},"citationItems":[{"id":242,"uris":["http://zotero.org/users/10967336/items/73DJ6ET8"],"itemData":{"id":242,"type":"thesis","license":"Non-published","publisher":"Universidad Autónoma de Madrid","title":"Characterization of the human cardiac KV1.5 channelosome: role of KChIP2","author":[{"family":"Benito-Bueno","given":"Ángela","non-dropping-particle":"de"}],"issued":{"date-parts":[["2022"]]}}}],"schema":"https://github.com/citation-style-language/schema/raw/master/csl-citation.json"} </w:instrText>
      </w:r>
      <w:r w:rsidR="00A974DD" w:rsidRPr="001E7605">
        <w:fldChar w:fldCharType="separate"/>
      </w:r>
      <w:r w:rsidR="00A974DD" w:rsidRPr="001E7605">
        <w:rPr>
          <w:rFonts w:cs="Times New Roman"/>
          <w:szCs w:val="24"/>
          <w:vertAlign w:val="superscript"/>
        </w:rPr>
        <w:t>2</w:t>
      </w:r>
      <w:r w:rsidR="00A974DD" w:rsidRPr="001E7605">
        <w:fldChar w:fldCharType="end"/>
      </w:r>
      <w:r w:rsidR="00141395" w:rsidRPr="001E7605">
        <w:t>;</w:t>
      </w:r>
      <w:r w:rsidR="0007407C" w:rsidRPr="001E7605">
        <w:t xml:space="preserve"> </w:t>
      </w:r>
      <w:r w:rsidR="00AB7054" w:rsidRPr="001E7605">
        <w:t>t</w:t>
      </w:r>
      <w:r w:rsidR="00141395" w:rsidRPr="001E7605">
        <w:t xml:space="preserve">he </w:t>
      </w:r>
      <w:r w:rsidR="00643CEE" w:rsidRPr="001E7605">
        <w:t xml:space="preserve">bicistronic </w:t>
      </w:r>
      <w:r w:rsidR="007E0A5E" w:rsidRPr="001E7605">
        <w:t>K</w:t>
      </w:r>
      <w:r w:rsidR="007E0A5E" w:rsidRPr="001E7605">
        <w:rPr>
          <w:vertAlign w:val="subscript"/>
        </w:rPr>
        <w:t>V</w:t>
      </w:r>
      <w:r w:rsidR="007E0A5E" w:rsidRPr="001E7605">
        <w:t>β1.3 IRES K</w:t>
      </w:r>
      <w:r w:rsidR="007E0A5E" w:rsidRPr="001E7605">
        <w:rPr>
          <w:vertAlign w:val="subscript"/>
        </w:rPr>
        <w:t>V</w:t>
      </w:r>
      <w:r w:rsidR="007E0A5E" w:rsidRPr="001E7605">
        <w:t xml:space="preserve">1.5 construction </w:t>
      </w:r>
      <w:r w:rsidR="00643CEE" w:rsidRPr="001E7605">
        <w:t xml:space="preserve">cloned in </w:t>
      </w:r>
      <w:proofErr w:type="spellStart"/>
      <w:r w:rsidR="00643CEE" w:rsidRPr="001E7605">
        <w:t>pBK</w:t>
      </w:r>
      <w:proofErr w:type="spellEnd"/>
      <w:r w:rsidR="00643CEE" w:rsidRPr="001E7605">
        <w:t xml:space="preserve">-CMV </w:t>
      </w:r>
      <w:r w:rsidR="007E0A5E" w:rsidRPr="001E7605">
        <w:fldChar w:fldCharType="begin"/>
      </w:r>
      <w:r w:rsidR="00A974DD" w:rsidRPr="001E7605">
        <w:instrText xml:space="preserve"> ADDIN ZOTERO_ITEM CSL_CITATION {"citationID":"VKhg1Flm","properties":{"formattedCitation":"\\super 3\\nosupersub{}","plainCitation":"3","noteIndex":0},"citationItems":[{"id":132,"uris":["http://zotero.org/users/10967336/items/ATKI48ZT",["http://zotero.org/users/10967336/items/ATKI48ZT"]],"itemData":{"id":132,"type":"article-journal","container-title":"Journal of Biological Chemistry","DOI":"10.1074/jbc.274.36.25355","ISSN":"00219258","issue":"36","journalAbbreviation":"Journal of Biological Chemistry","language":"en","page":"25355-25361","source":"DOI.org (Crossref)","title":"Phosphorylation Is Required for Alteration of Kv1.5 K+ Channel Function by the Kvβ1.3 Subunit","volume":"274","author":[{"family":"Kwak","given":"Yong-Geun"},{"family":"Navarro-Polanco","given":"Ricardo A."},{"family":"Grobaski","given":"Tammy"},{"family":"Gallagher","given":"Daniel J."},{"family":"Tamkun","given":"Michael M."}],"issued":{"literal":"1999b"}}}],"schema":"https://github.com/citation-style-language/schema/raw/master/csl-citation.json"} </w:instrText>
      </w:r>
      <w:r w:rsidR="007E0A5E" w:rsidRPr="001E7605">
        <w:fldChar w:fldCharType="separate"/>
      </w:r>
      <w:r w:rsidR="00A974DD" w:rsidRPr="001E7605">
        <w:rPr>
          <w:rFonts w:cs="Times New Roman"/>
          <w:szCs w:val="24"/>
          <w:vertAlign w:val="superscript"/>
        </w:rPr>
        <w:t>3</w:t>
      </w:r>
      <w:r w:rsidR="007E0A5E" w:rsidRPr="001E7605">
        <w:fldChar w:fldCharType="end"/>
      </w:r>
      <w:r w:rsidR="00141395" w:rsidRPr="001E7605">
        <w:t>;</w:t>
      </w:r>
      <w:r w:rsidR="007E0A5E" w:rsidRPr="001E7605">
        <w:t xml:space="preserve"> </w:t>
      </w:r>
      <w:r w:rsidR="00BA68E5" w:rsidRPr="001E7605">
        <w:t>K</w:t>
      </w:r>
      <w:r w:rsidR="00BA68E5" w:rsidRPr="001E7605">
        <w:rPr>
          <w:vertAlign w:val="subscript"/>
        </w:rPr>
        <w:t>V</w:t>
      </w:r>
      <w:r w:rsidR="00BA68E5" w:rsidRPr="001E7605">
        <w:t>β1.2</w:t>
      </w:r>
      <w:r w:rsidR="00AB7054" w:rsidRPr="001E7605">
        <w:t>-</w:t>
      </w:r>
      <w:r w:rsidR="00BA68E5" w:rsidRPr="001E7605">
        <w:t>pBK</w:t>
      </w:r>
      <w:r w:rsidR="00141395" w:rsidRPr="001E7605">
        <w:t xml:space="preserve">-CMV; </w:t>
      </w:r>
      <w:r w:rsidR="00591718" w:rsidRPr="001E7605">
        <w:rPr>
          <w:lang w:val="en-GB"/>
        </w:rPr>
        <w:t>K</w:t>
      </w:r>
      <w:r w:rsidR="00591718" w:rsidRPr="001E7605">
        <w:rPr>
          <w:vertAlign w:val="subscript"/>
          <w:lang w:val="en-GB"/>
        </w:rPr>
        <w:t>V</w:t>
      </w:r>
      <w:r w:rsidR="00591718" w:rsidRPr="001E7605">
        <w:t>β</w:t>
      </w:r>
      <w:r w:rsidR="00591718" w:rsidRPr="001E7605">
        <w:rPr>
          <w:lang w:val="en-GB"/>
        </w:rPr>
        <w:t>1.3-pCMV-Tag5A</w:t>
      </w:r>
      <w:r w:rsidR="00C212CA" w:rsidRPr="001E7605">
        <w:rPr>
          <w:lang w:val="en-GB"/>
        </w:rPr>
        <w:t xml:space="preserve"> </w:t>
      </w:r>
      <w:r w:rsidR="00C212CA" w:rsidRPr="001E7605">
        <w:rPr>
          <w:lang w:val="en-GB"/>
        </w:rPr>
        <w:fldChar w:fldCharType="begin"/>
      </w:r>
      <w:r w:rsidR="00A974DD" w:rsidRPr="001E7605">
        <w:rPr>
          <w:lang w:val="en-GB"/>
        </w:rPr>
        <w:instrText xml:space="preserve"> ADDIN ZOTERO_ITEM CSL_CITATION {"citationID":"Fioe6BL8","properties":{"formattedCitation":"\\super 4\\nosupersub{}","plainCitation":"4","noteIndex":0},"citationItems":[{"id":307,"uris":["http://zotero.org/users/10967336/items/FGH4VX7E"],"itemData":{"id":307,"type":"article-journal","abstract":"Background: Kv</w:instrText>
      </w:r>
      <w:r w:rsidR="00A974DD" w:rsidRPr="001E7605">
        <w:rPr>
          <w:rFonts w:ascii="Cascadia Code ExtraLight" w:hAnsi="Cascadia Code ExtraLight" w:cs="Cascadia Code ExtraLight"/>
          <w:lang w:val="en-GB"/>
        </w:rPr>
        <w:instrText>␤</w:instrText>
      </w:r>
      <w:r w:rsidR="00A974DD" w:rsidRPr="001E7605">
        <w:rPr>
          <w:lang w:val="en-GB"/>
        </w:rPr>
        <w:instrText>1.3 fast inactivation conferred onto Kv1.5 is PKC-dependent.\nResults: PKC inhibition shifts Kv</w:instrText>
      </w:r>
      <w:r w:rsidR="00A974DD" w:rsidRPr="001E7605">
        <w:rPr>
          <w:rFonts w:ascii="Cascadia Code ExtraLight" w:hAnsi="Cascadia Code ExtraLight" w:cs="Cascadia Code ExtraLight"/>
          <w:lang w:val="en-GB"/>
        </w:rPr>
        <w:instrText>␤</w:instrText>
      </w:r>
      <w:r w:rsidR="00A974DD" w:rsidRPr="001E7605">
        <w:rPr>
          <w:lang w:val="en-GB"/>
        </w:rPr>
        <w:instrText>1.3-induced inactivation curve without altering Kv1.5-Kv</w:instrText>
      </w:r>
      <w:r w:rsidR="00A974DD" w:rsidRPr="001E7605">
        <w:rPr>
          <w:rFonts w:ascii="Cascadia Code ExtraLight" w:hAnsi="Cascadia Code ExtraLight" w:cs="Cascadia Code ExtraLight"/>
          <w:lang w:val="en-GB"/>
        </w:rPr>
        <w:instrText>␤</w:instrText>
      </w:r>
      <w:r w:rsidR="00A974DD" w:rsidRPr="001E7605">
        <w:rPr>
          <w:lang w:val="en-GB"/>
        </w:rPr>
        <w:instrText>1.3 interaction. A Kv1.5 channelosome is characterized.\nConclusion: Kv1.5 channelosome is composed of several PKC isoforms (</w:instrText>
      </w:r>
      <w:r w:rsidR="00A974DD" w:rsidRPr="001E7605">
        <w:rPr>
          <w:rFonts w:ascii="Cascadia Code ExtraLight" w:hAnsi="Cascadia Code ExtraLight" w:cs="Cascadia Code ExtraLight"/>
          <w:lang w:val="en-GB"/>
        </w:rPr>
        <w:instrText>␤</w:instrText>
      </w:r>
      <w:r w:rsidR="00A974DD" w:rsidRPr="001E7605">
        <w:rPr>
          <w:lang w:val="en-GB"/>
        </w:rPr>
        <w:instrText xml:space="preserve">I, </w:instrText>
      </w:r>
      <w:r w:rsidR="00A974DD" w:rsidRPr="001E7605">
        <w:rPr>
          <w:rFonts w:ascii="Cascadia Code ExtraLight" w:hAnsi="Cascadia Code ExtraLight" w:cs="Cascadia Code ExtraLight"/>
          <w:lang w:val="en-GB"/>
        </w:rPr>
        <w:instrText>␤</w:instrText>
      </w:r>
      <w:r w:rsidR="00A974DD" w:rsidRPr="001E7605">
        <w:rPr>
          <w:lang w:val="en-GB"/>
        </w:rPr>
        <w:instrText xml:space="preserve">II, and </w:instrText>
      </w:r>
      <w:r w:rsidR="00A974DD" w:rsidRPr="001E7605">
        <w:rPr>
          <w:rFonts w:cs="Garamond"/>
          <w:lang w:val="en-GB"/>
        </w:rPr>
        <w:instrText>␪</w:instrText>
      </w:r>
      <w:r w:rsidR="00A974DD" w:rsidRPr="001E7605">
        <w:rPr>
          <w:lang w:val="en-GB"/>
        </w:rPr>
        <w:instrText>), Kv</w:instrText>
      </w:r>
      <w:r w:rsidR="00A974DD" w:rsidRPr="001E7605">
        <w:rPr>
          <w:rFonts w:ascii="Cascadia Code ExtraLight" w:hAnsi="Cascadia Code ExtraLight" w:cs="Cascadia Code ExtraLight"/>
          <w:lang w:val="en-GB"/>
        </w:rPr>
        <w:instrText>␤</w:instrText>
      </w:r>
      <w:r w:rsidR="00A974DD" w:rsidRPr="001E7605">
        <w:rPr>
          <w:lang w:val="en-GB"/>
        </w:rPr>
        <w:instrText>1.3 and RACK1 in HEK293 and in rat ventricular cells. Significance: This is the first evidence of a cardiac Kv1.5-Kv</w:instrText>
      </w:r>
      <w:r w:rsidR="00A974DD" w:rsidRPr="001E7605">
        <w:rPr>
          <w:rFonts w:ascii="Cascadia Code ExtraLight" w:hAnsi="Cascadia Code ExtraLight" w:cs="Cascadia Code ExtraLight"/>
          <w:lang w:val="en-GB"/>
        </w:rPr>
        <w:instrText>␤</w:instrText>
      </w:r>
      <w:r w:rsidR="00A974DD" w:rsidRPr="001E7605">
        <w:rPr>
          <w:lang w:val="en-GB"/>
        </w:rPr>
        <w:instrText xml:space="preserve">1.3-RACK1-PKC macromolecular complex.","container-title":"Journal of Biological Chemistry","DOI":"10.1074/jbc.M111.328278","ISSN":"00219258","issue":"25","journalAbbreviation":"Journal of Biological Chemistry","language":"en","page":"21416-21428","source":"DOI.org (Crossref)","title":"Protein Kinase C (PKC) Activity Regulates Functional Effects of Kvβ1.3 Subunit on KV1.5 Channels","volume":"287","author":[{"family":"David","given":"Miren"},{"family":"Macías","given":"Álvaro"},{"family":"Moreno","given":"Cristina"},{"family":"Prieto","given":"Ángela"},{"family":"Martínez-Mármol","given":"Ramón"},{"family":"Vicente","given":"Rubén"},{"family":"González","given":"Teresa"},{"family":"Felipe","given":"Antonio"},{"family":"Tamkun","given":"Michael M."},{"family":"Valenzuela","given":"Carmen"}],"issued":{"date-parts":[["2012",6]]}}}],"schema":"https://github.com/citation-style-language/schema/raw/master/csl-citation.json"} </w:instrText>
      </w:r>
      <w:r w:rsidR="00C212CA" w:rsidRPr="001E7605">
        <w:rPr>
          <w:lang w:val="en-GB"/>
        </w:rPr>
        <w:fldChar w:fldCharType="separate"/>
      </w:r>
      <w:r w:rsidR="00A974DD" w:rsidRPr="001E7605">
        <w:rPr>
          <w:rFonts w:cs="Times New Roman"/>
          <w:szCs w:val="24"/>
          <w:vertAlign w:val="superscript"/>
        </w:rPr>
        <w:t>4</w:t>
      </w:r>
      <w:r w:rsidR="00C212CA" w:rsidRPr="001E7605">
        <w:rPr>
          <w:lang w:val="en-GB"/>
        </w:rPr>
        <w:fldChar w:fldCharType="end"/>
      </w:r>
      <w:r w:rsidR="00141395" w:rsidRPr="001E7605">
        <w:rPr>
          <w:lang w:val="en-GB"/>
        </w:rPr>
        <w:t>;</w:t>
      </w:r>
      <w:r w:rsidR="00591718" w:rsidRPr="001E7605">
        <w:rPr>
          <w:lang w:val="en-GB"/>
        </w:rPr>
        <w:t xml:space="preserve"> </w:t>
      </w:r>
      <w:r w:rsidR="0007407C" w:rsidRPr="001E7605">
        <w:rPr>
          <w:lang w:val="en-GB"/>
        </w:rPr>
        <w:t>K</w:t>
      </w:r>
      <w:r w:rsidR="0007407C" w:rsidRPr="001E7605">
        <w:rPr>
          <w:vertAlign w:val="subscript"/>
          <w:lang w:val="en-GB"/>
        </w:rPr>
        <w:t>V</w:t>
      </w:r>
      <w:r w:rsidR="0007407C" w:rsidRPr="001E7605">
        <w:rPr>
          <w:lang w:val="en-GB"/>
        </w:rPr>
        <w:t>4.3</w:t>
      </w:r>
      <w:r w:rsidR="00AB7054" w:rsidRPr="001E7605">
        <w:rPr>
          <w:lang w:val="en-GB"/>
        </w:rPr>
        <w:t>-</w:t>
      </w:r>
      <w:r w:rsidR="0007407C" w:rsidRPr="001E7605">
        <w:rPr>
          <w:lang w:val="en-GB"/>
        </w:rPr>
        <w:t>pBK-CMV vector</w:t>
      </w:r>
      <w:r w:rsidR="00B47094" w:rsidRPr="001E7605">
        <w:rPr>
          <w:lang w:val="en-GB"/>
        </w:rPr>
        <w:t xml:space="preserve"> </w:t>
      </w:r>
      <w:r w:rsidR="00B47094" w:rsidRPr="001E7605">
        <w:rPr>
          <w:lang w:val="en-GB"/>
        </w:rPr>
        <w:fldChar w:fldCharType="begin"/>
      </w:r>
      <w:r w:rsidR="00A974DD" w:rsidRPr="001E7605">
        <w:rPr>
          <w:lang w:val="en-GB"/>
        </w:rPr>
        <w:instrText xml:space="preserve"> ADDIN ZOTERO_ITEM CSL_CITATION {"citationID":"Q1nik0OE","properties":{"formattedCitation":"\\super 5\\nosupersub{}","plainCitation":"5","noteIndex":0},"citationItems":[{"id":290,"uris":["http://zotero.org/users/10967336/items/6VZN796P"],"itemData":{"id":290,"type":"article-journal","container-title":"Cardiovascular Research","DOI":"10.1016/S0008-6363(98)00220-X","ISSN":"00086363","issue":"1","page":"212-219","source":"DOI.org (Crossref)","title":"Functional expression of an inactivating potassium channel (Kv4.3) in a mammalian cell line","volume":"41","author":[{"family":"Franqueza","given":"L"}],"issued":{"date-parts":[["1999",1,1]]}}}],"schema":"https://github.com/citation-style-language/schema/raw/master/csl-citation.json"} </w:instrText>
      </w:r>
      <w:r w:rsidR="00B47094" w:rsidRPr="001E7605">
        <w:rPr>
          <w:lang w:val="en-GB"/>
        </w:rPr>
        <w:fldChar w:fldCharType="separate"/>
      </w:r>
      <w:r w:rsidR="00A974DD" w:rsidRPr="001E7605">
        <w:rPr>
          <w:rFonts w:cs="Times New Roman"/>
          <w:szCs w:val="24"/>
          <w:vertAlign w:val="superscript"/>
        </w:rPr>
        <w:t>5</w:t>
      </w:r>
      <w:r w:rsidR="00B47094" w:rsidRPr="001E7605">
        <w:rPr>
          <w:lang w:val="en-GB"/>
        </w:rPr>
        <w:fldChar w:fldCharType="end"/>
      </w:r>
      <w:r w:rsidR="00141395" w:rsidRPr="001E7605">
        <w:rPr>
          <w:lang w:val="en-GB"/>
        </w:rPr>
        <w:t>;</w:t>
      </w:r>
      <w:r w:rsidR="00B937A0" w:rsidRPr="001E7605">
        <w:rPr>
          <w:lang w:val="en-GB"/>
        </w:rPr>
        <w:t xml:space="preserve"> </w:t>
      </w:r>
      <w:r w:rsidR="00141395" w:rsidRPr="001E7605">
        <w:t>t</w:t>
      </w:r>
      <w:r w:rsidR="004D7CA3" w:rsidRPr="001E7605">
        <w:t>he K</w:t>
      </w:r>
      <w:r w:rsidR="004D7CA3" w:rsidRPr="001E7605">
        <w:rPr>
          <w:vertAlign w:val="subscript"/>
        </w:rPr>
        <w:t>V</w:t>
      </w:r>
      <w:r w:rsidR="004D7CA3" w:rsidRPr="001E7605">
        <w:t>4.2</w:t>
      </w:r>
      <w:r w:rsidR="00AB7054" w:rsidRPr="001E7605">
        <w:t>-</w:t>
      </w:r>
      <w:r w:rsidR="004D7CA3" w:rsidRPr="001E7605">
        <w:t>GFP plasmid</w:t>
      </w:r>
      <w:r w:rsidR="00141395" w:rsidRPr="001E7605">
        <w:t xml:space="preserve">; </w:t>
      </w:r>
      <w:r w:rsidR="00AB7054" w:rsidRPr="001E7605">
        <w:t>and t</w:t>
      </w:r>
      <w:r w:rsidR="00030C80" w:rsidRPr="001E7605">
        <w:t>he K</w:t>
      </w:r>
      <w:r w:rsidR="00030C80" w:rsidRPr="001E7605">
        <w:rPr>
          <w:vertAlign w:val="subscript"/>
        </w:rPr>
        <w:t>V</w:t>
      </w:r>
      <w:r w:rsidR="00030C80" w:rsidRPr="001E7605">
        <w:t>1.5-HA</w:t>
      </w:r>
      <w:r w:rsidR="0073332E" w:rsidRPr="001E7605">
        <w:t xml:space="preserve"> </w:t>
      </w:r>
      <w:r w:rsidR="00030C80" w:rsidRPr="001E7605">
        <w:fldChar w:fldCharType="begin"/>
      </w:r>
      <w:r w:rsidR="00A974DD" w:rsidRPr="001E7605">
        <w:instrText xml:space="preserve"> ADDIN ZOTERO_ITEM CSL_CITATION {"citationID":"UJMcuWjt","properties":{"formattedCitation":"\\super 6\\nosupersub{}","plainCitation":"6","noteIndex":0},"citationItems":[{"id":241,"uris":["http://zotero.org/users/10967336/items/GIGSYMYE",["http://zotero.org/users/10967336/items/GIGSYMYE"]],"itemData":{"id":241,"type":"article-journal","container-title":"The Journal of Physiology","DOI":"10.1113/jphysiol.2008.161570","ISSN":"00223751","issue":"20","language":"en","page":"4793-4813","source":"DOI.org (Crossref)","title":"Internalized Kv1.5 traffics via Rab-dependent pathways: Rab-dependent trafficking of Kv1.5","title-short":"Internalized Kv1.5 traffics via Rab-dependent pathways","volume":"586","author":[{"family":"Zadeh","given":"Alireza Dehghani"},{"family":"Xu","given":"Hongjian"},{"family":"Loewen","given":"Matthew E."},{"family":"Noble","given":"Geoffrey P."},{"family":"Steele","given":"David F."},{"family":"Fedida","given":"David"}],"issued":{"date-parts":[["2008",10,15]]}}}],"schema":"https://github.com/citation-style-language/schema/raw/master/csl-citation.json"} </w:instrText>
      </w:r>
      <w:r w:rsidR="00030C80" w:rsidRPr="001E7605">
        <w:fldChar w:fldCharType="separate"/>
      </w:r>
      <w:r w:rsidR="00A974DD" w:rsidRPr="001E7605">
        <w:rPr>
          <w:rFonts w:cs="Times New Roman"/>
          <w:szCs w:val="24"/>
          <w:vertAlign w:val="superscript"/>
        </w:rPr>
        <w:t>6</w:t>
      </w:r>
      <w:r w:rsidR="00030C80" w:rsidRPr="001E7605">
        <w:fldChar w:fldCharType="end"/>
      </w:r>
      <w:r w:rsidR="005E4F85" w:rsidRPr="001E7605">
        <w:t>.</w:t>
      </w:r>
      <w:r w:rsidR="007C2FA8" w:rsidRPr="001E7605">
        <w:t xml:space="preserve"> </w:t>
      </w:r>
      <w:r w:rsidR="00B937A0" w:rsidRPr="001E7605">
        <w:t>Lgi3 (NM_139278</w:t>
      </w:r>
      <w:r w:rsidR="0073332E" w:rsidRPr="001E7605">
        <w:t>)</w:t>
      </w:r>
      <w:r w:rsidR="00B937A0" w:rsidRPr="001E7605">
        <w:t xml:space="preserve"> and Lgi4 (NM_139284) were subcloned in</w:t>
      </w:r>
      <w:r w:rsidR="00146B8C" w:rsidRPr="001E7605">
        <w:t xml:space="preserve"> the bicistronic vector</w:t>
      </w:r>
      <w:r w:rsidR="00B937A0" w:rsidRPr="001E7605">
        <w:t xml:space="preserve"> </w:t>
      </w:r>
      <w:proofErr w:type="spellStart"/>
      <w:r w:rsidR="0073332E" w:rsidRPr="001E7605">
        <w:t>pRR</w:t>
      </w:r>
      <w:proofErr w:type="spellEnd"/>
      <w:r w:rsidR="0073332E" w:rsidRPr="001E7605">
        <w:t>-CMV-IRES-</w:t>
      </w:r>
      <w:proofErr w:type="spellStart"/>
      <w:r w:rsidR="00B937A0" w:rsidRPr="001E7605">
        <w:t>mCherry</w:t>
      </w:r>
      <w:proofErr w:type="spellEnd"/>
      <w:r w:rsidR="00B937A0" w:rsidRPr="001E7605">
        <w:t xml:space="preserve"> by introducing </w:t>
      </w:r>
      <w:proofErr w:type="spellStart"/>
      <w:r w:rsidR="00B937A0" w:rsidRPr="001E7605">
        <w:rPr>
          <w:i/>
        </w:rPr>
        <w:t>XhoI</w:t>
      </w:r>
      <w:proofErr w:type="spellEnd"/>
      <w:r w:rsidR="00B937A0" w:rsidRPr="001E7605">
        <w:t xml:space="preserve"> and </w:t>
      </w:r>
      <w:proofErr w:type="spellStart"/>
      <w:r w:rsidR="00B937A0" w:rsidRPr="001E7605">
        <w:rPr>
          <w:i/>
        </w:rPr>
        <w:t>XbaI</w:t>
      </w:r>
      <w:proofErr w:type="spellEnd"/>
      <w:r w:rsidR="00B937A0" w:rsidRPr="001E7605">
        <w:t xml:space="preserve"> restriction sites using the primers described in Table </w:t>
      </w:r>
      <w:r w:rsidR="00670E3F" w:rsidRPr="001E7605">
        <w:t>1</w:t>
      </w:r>
      <w:r w:rsidR="0073332E" w:rsidRPr="001E7605">
        <w:t>;</w:t>
      </w:r>
      <w:r w:rsidR="00B937A0" w:rsidRPr="001E7605">
        <w:t xml:space="preserve"> ADAM23 was cloned into </w:t>
      </w:r>
      <w:proofErr w:type="spellStart"/>
      <w:r w:rsidR="0073332E" w:rsidRPr="001E7605">
        <w:t>pRR</w:t>
      </w:r>
      <w:proofErr w:type="spellEnd"/>
      <w:r w:rsidR="0073332E" w:rsidRPr="001E7605">
        <w:t>-</w:t>
      </w:r>
      <w:r w:rsidR="00B937A0" w:rsidRPr="001E7605">
        <w:t>CMV</w:t>
      </w:r>
      <w:r w:rsidR="0073332E" w:rsidRPr="001E7605">
        <w:t>-IRES-</w:t>
      </w:r>
      <w:r w:rsidR="00B937A0" w:rsidRPr="001E7605">
        <w:t xml:space="preserve">GFP by introducing </w:t>
      </w:r>
      <w:proofErr w:type="spellStart"/>
      <w:r w:rsidR="00B937A0" w:rsidRPr="001E7605">
        <w:rPr>
          <w:i/>
          <w:iCs/>
        </w:rPr>
        <w:t>XbaI</w:t>
      </w:r>
      <w:proofErr w:type="spellEnd"/>
      <w:r w:rsidR="00B937A0" w:rsidRPr="001E7605">
        <w:t xml:space="preserve"> and </w:t>
      </w:r>
      <w:proofErr w:type="spellStart"/>
      <w:r w:rsidR="00671301" w:rsidRPr="001E7605">
        <w:rPr>
          <w:i/>
          <w:iCs/>
        </w:rPr>
        <w:t>SmaI</w:t>
      </w:r>
      <w:proofErr w:type="spellEnd"/>
      <w:r w:rsidR="00671301" w:rsidRPr="001E7605">
        <w:rPr>
          <w:i/>
          <w:iCs/>
        </w:rPr>
        <w:t xml:space="preserve"> </w:t>
      </w:r>
      <w:r w:rsidR="00B937A0" w:rsidRPr="001E7605">
        <w:t>restriction sites</w:t>
      </w:r>
      <w:r w:rsidR="008F7099" w:rsidRPr="001E7605">
        <w:t xml:space="preserve"> with the primers described in Table </w:t>
      </w:r>
      <w:r w:rsidR="004D2DCB" w:rsidRPr="001E7605">
        <w:t>1</w:t>
      </w:r>
      <w:r w:rsidR="008F7099" w:rsidRPr="001E7605">
        <w:t>.</w:t>
      </w:r>
      <w:r w:rsidR="00E53430" w:rsidRPr="001E7605">
        <w:t xml:space="preserve"> </w:t>
      </w:r>
    </w:p>
    <w:p w14:paraId="4867BEE2" w14:textId="2FCC7C79" w:rsidR="00591718" w:rsidRDefault="007C2FA8" w:rsidP="00141395">
      <w:pPr>
        <w:pStyle w:val="Textotesispuntos"/>
        <w:numPr>
          <w:ilvl w:val="0"/>
          <w:numId w:val="0"/>
        </w:numPr>
      </w:pPr>
      <w:r w:rsidRPr="001E7605">
        <w:t>For immunofluorescence and coimmunoprecipitation experiments</w:t>
      </w:r>
      <w:r w:rsidR="0073332E" w:rsidRPr="001E7605">
        <w:t>:</w:t>
      </w:r>
      <w:r w:rsidRPr="001E7605">
        <w:t xml:space="preserve"> K</w:t>
      </w:r>
      <w:r w:rsidRPr="001E7605">
        <w:rPr>
          <w:vertAlign w:val="subscript"/>
        </w:rPr>
        <w:t>V</w:t>
      </w:r>
      <w:r w:rsidRPr="001E7605">
        <w:t xml:space="preserve">1.5-GFP </w:t>
      </w:r>
      <w:proofErr w:type="spellStart"/>
      <w:r w:rsidRPr="001E7605">
        <w:t>pBK</w:t>
      </w:r>
      <w:proofErr w:type="spellEnd"/>
      <w:r w:rsidRPr="001E7605">
        <w:t xml:space="preserve"> vector</w:t>
      </w:r>
      <w:r w:rsidR="0073332E" w:rsidRPr="001E7605">
        <w:t>;</w:t>
      </w:r>
      <w:r w:rsidRPr="001E7605">
        <w:t xml:space="preserve"> </w:t>
      </w:r>
      <w:r w:rsidR="0073332E" w:rsidRPr="001E7605">
        <w:t>K</w:t>
      </w:r>
      <w:r w:rsidR="0073332E" w:rsidRPr="001E7605">
        <w:rPr>
          <w:vertAlign w:val="subscript"/>
        </w:rPr>
        <w:t>V</w:t>
      </w:r>
      <w:r w:rsidR="0073332E" w:rsidRPr="001E7605">
        <w:t xml:space="preserve">1.5 in </w:t>
      </w:r>
      <w:r w:rsidRPr="001E7605">
        <w:t>pcDNA3.1 vector</w:t>
      </w:r>
      <w:r w:rsidR="0073332E" w:rsidRPr="001E7605">
        <w:t xml:space="preserve">; </w:t>
      </w:r>
      <w:r w:rsidRPr="001E7605">
        <w:t>K</w:t>
      </w:r>
      <w:r w:rsidRPr="001E7605">
        <w:rPr>
          <w:vertAlign w:val="subscript"/>
        </w:rPr>
        <w:t>V</w:t>
      </w:r>
      <w:r w:rsidRPr="001E7605">
        <w:t>4.3 pmCherry-C1</w:t>
      </w:r>
      <w:r w:rsidR="00B47094" w:rsidRPr="001E7605">
        <w:fldChar w:fldCharType="begin"/>
      </w:r>
      <w:r w:rsidR="00A974DD" w:rsidRPr="001E7605">
        <w:instrText xml:space="preserve"> ADDIN ZOTERO_ITEM CSL_CITATION {"citationID":"SHS4s6jU","properties":{"formattedCitation":"\\super 2\\nosupersub{}","plainCitation":"2","noteIndex":0},"citationItems":[{"id":242,"uris":["http://zotero.org/users/10967336/items/73DJ6ET8"],"itemData":{"id":242,"type":"thesis","license":"Non-published","publisher":"Universidad Autónoma de Madrid","title":"Characterization of the human cardiac KV1.5 channelosome: role of KChIP2","author":[{"family":"Benito-Bueno","given":"Ángela","non-dropping-particle":"de"}],"issued":{"date-parts":[["2022"]]}}}],"schema":"https://github.com/citation-style-language/schema/raw/master/csl-citation.json"} </w:instrText>
      </w:r>
      <w:r w:rsidR="00B47094" w:rsidRPr="001E7605">
        <w:fldChar w:fldCharType="separate"/>
      </w:r>
      <w:r w:rsidR="00A974DD" w:rsidRPr="001E7605">
        <w:rPr>
          <w:rFonts w:cs="Times New Roman"/>
          <w:szCs w:val="24"/>
          <w:vertAlign w:val="superscript"/>
        </w:rPr>
        <w:t>2</w:t>
      </w:r>
      <w:r w:rsidR="00B47094" w:rsidRPr="001E7605">
        <w:fldChar w:fldCharType="end"/>
      </w:r>
      <w:r w:rsidR="00F4465B" w:rsidRPr="001E7605">
        <w:t xml:space="preserve">; </w:t>
      </w:r>
      <w:proofErr w:type="spellStart"/>
      <w:r w:rsidR="00F4465B" w:rsidRPr="00A945AB">
        <w:t>DsRed</w:t>
      </w:r>
      <w:proofErr w:type="spellEnd"/>
      <w:r w:rsidR="00F4465B" w:rsidRPr="00A945AB">
        <w:t xml:space="preserve"> in </w:t>
      </w:r>
      <w:proofErr w:type="spellStart"/>
      <w:r w:rsidR="00F4465B" w:rsidRPr="00A945AB">
        <w:t>pCAG</w:t>
      </w:r>
      <w:proofErr w:type="spellEnd"/>
      <w:r w:rsidR="00F4465B" w:rsidRPr="001E7605">
        <w:t>;</w:t>
      </w:r>
      <w:r w:rsidR="00BA0BBC" w:rsidRPr="001E7605">
        <w:t xml:space="preserve"> Lgi3 </w:t>
      </w:r>
      <w:r w:rsidR="00E53430" w:rsidRPr="001E7605">
        <w:t>pCMV6-</w:t>
      </w:r>
      <w:r w:rsidR="00BA0BBC" w:rsidRPr="001E7605">
        <w:t>Myc-FLAG</w:t>
      </w:r>
      <w:r w:rsidR="00E53430" w:rsidRPr="001E7605">
        <w:t>;</w:t>
      </w:r>
      <w:r w:rsidR="00BA0BBC" w:rsidRPr="001E7605">
        <w:t xml:space="preserve"> Lgi4 pCMV6 </w:t>
      </w:r>
      <w:proofErr w:type="spellStart"/>
      <w:r w:rsidR="00BA0BBC" w:rsidRPr="001E7605">
        <w:t>Myc</w:t>
      </w:r>
      <w:proofErr w:type="spellEnd"/>
      <w:r w:rsidR="00BA0BBC" w:rsidRPr="001E7605">
        <w:t xml:space="preserve">-FLAG generated by subcloning Lgi4 into FLAG </w:t>
      </w:r>
      <w:proofErr w:type="spellStart"/>
      <w:r w:rsidR="00BA0BBC" w:rsidRPr="001E7605">
        <w:t>Myc</w:t>
      </w:r>
      <w:proofErr w:type="spellEnd"/>
      <w:r w:rsidR="00BA0BBC" w:rsidRPr="001E7605">
        <w:t xml:space="preserve"> pCMV6 by introducing </w:t>
      </w:r>
      <w:proofErr w:type="spellStart"/>
      <w:r w:rsidR="00BA0BBC" w:rsidRPr="001E7605">
        <w:rPr>
          <w:i/>
        </w:rPr>
        <w:t>AsiS</w:t>
      </w:r>
      <w:proofErr w:type="spellEnd"/>
      <w:r w:rsidR="00BA0BBC" w:rsidRPr="001E7605">
        <w:t xml:space="preserve"> and </w:t>
      </w:r>
      <w:proofErr w:type="spellStart"/>
      <w:r w:rsidR="00BA0BBC" w:rsidRPr="001E7605">
        <w:rPr>
          <w:i/>
        </w:rPr>
        <w:t>MluI</w:t>
      </w:r>
      <w:proofErr w:type="spellEnd"/>
      <w:r w:rsidR="00BA0BBC" w:rsidRPr="001E7605">
        <w:t xml:space="preserve"> sites with the primers described in Table </w:t>
      </w:r>
      <w:r w:rsidR="004D1A6A" w:rsidRPr="001E7605">
        <w:t>1</w:t>
      </w:r>
      <w:r w:rsidR="00141395" w:rsidRPr="001E7605">
        <w:t xml:space="preserve">. </w:t>
      </w:r>
      <w:r w:rsidR="004816C1" w:rsidRPr="001E7605">
        <w:t xml:space="preserve">To introduce Lgi4 in </w:t>
      </w:r>
      <w:proofErr w:type="spellStart"/>
      <w:r w:rsidR="004816C1" w:rsidRPr="001E7605">
        <w:t>adeno</w:t>
      </w:r>
      <w:r w:rsidR="00E1648A" w:rsidRPr="001E7605">
        <w:t>associated</w:t>
      </w:r>
      <w:proofErr w:type="spellEnd"/>
      <w:r w:rsidR="00E1648A" w:rsidRPr="001E7605">
        <w:t xml:space="preserve"> </w:t>
      </w:r>
      <w:r w:rsidR="004816C1" w:rsidRPr="001E7605">
        <w:t>virus</w:t>
      </w:r>
      <w:r w:rsidR="00E1648A" w:rsidRPr="001E7605">
        <w:t>es (AAVs)</w:t>
      </w:r>
      <w:r w:rsidR="004816C1" w:rsidRPr="001E7605">
        <w:t>, Lgi4</w:t>
      </w:r>
      <w:r w:rsidR="003203B2" w:rsidRPr="001E7605">
        <w:t xml:space="preserve"> was cloned</w:t>
      </w:r>
      <w:r w:rsidR="004816C1" w:rsidRPr="001E7605">
        <w:t xml:space="preserve"> into </w:t>
      </w:r>
      <w:proofErr w:type="spellStart"/>
      <w:r w:rsidR="00E53430" w:rsidRPr="001E7605">
        <w:t>pAAV</w:t>
      </w:r>
      <w:proofErr w:type="spellEnd"/>
      <w:r w:rsidR="003203B2" w:rsidRPr="001E7605">
        <w:t>-</w:t>
      </w:r>
      <w:proofErr w:type="spellStart"/>
      <w:r w:rsidR="003203B2" w:rsidRPr="001E7605">
        <w:t>cTnT</w:t>
      </w:r>
      <w:proofErr w:type="spellEnd"/>
      <w:r w:rsidR="00E53430" w:rsidRPr="001E7605">
        <w:t>-</w:t>
      </w:r>
      <w:r w:rsidR="004816C1" w:rsidRPr="001E7605">
        <w:t>IRES</w:t>
      </w:r>
      <w:r w:rsidR="00E53430" w:rsidRPr="001E7605">
        <w:t>-</w:t>
      </w:r>
      <w:r w:rsidR="004816C1" w:rsidRPr="001E7605">
        <w:t>Tomato, and ITR sequences flanking the sequences of interest to enable the packaging in AAV9</w:t>
      </w:r>
      <w:r w:rsidR="00A974DD" w:rsidRPr="001E7605">
        <w:t xml:space="preserve"> </w:t>
      </w:r>
      <w:r w:rsidR="00A974DD" w:rsidRPr="001E7605">
        <w:fldChar w:fldCharType="begin"/>
      </w:r>
      <w:r w:rsidR="00A974DD" w:rsidRPr="001E7605">
        <w:instrText xml:space="preserve"> ADDIN ZOTERO_ITEM CSL_CITATION {"citationID":"lSBIsp18","properties":{"formattedCitation":"\\super 7\\nosupersub{}","plainCitation":"7","noteIndex":0},"citationItems":[{"id":565,"uris":["http://zotero.org/users/10967336/items/TZRAKFCI"],"itemData":{"id":565,"type":"article-journal","abstract":"Abstract\n            \n              Andersen–Tawil syndrome type 1 (ATS1) is associated with life-threatening arrhythmias of unknown mechanism. In this study, we generated and characterized a mouse model of ATS1 carrying the trafficking-deficient mutant Kir2.1\n              Δ314-315\n              channel. The mutant mouse recapitulates the electrophysiological phenotype of ATS1, with QT prolongation exacerbated by flecainide or isoproterenol, drug-induced QRS prolongation, increased vulnerability to reentrant arrhythmias and multifocal discharges resembling catecholaminergic polymorphic ventricular tachycardia (CPVT). Kir2.1\n              Δ314-315\n              cardiomyocytes display significantly reduced inward rectifier K\n              +\n              and Na\n              +\n              currents, depolarized resting membrane potential and prolonged action potentials. We show that, in wild-type mouse cardiomyocytes and skeletal muscle cells, Kir2.1 channels localize to sarcoplasmic reticulum (SR) microdomains, contributing to intracellular Ca\n              2+\n              homeostasis. Kir2.1\n              Δ314-315\n              cardiomyocytes exhibit defective SR Kir2.1 localization and function, as intact and permeabilized Kir2.1\n              Δ314-315\n              cardiomyocytes display abnormal spontaneous Ca\n              2+\n              release events. Overall, defective Kir2.1 channel function at the sarcolemma and the SR explain the life-threatening arrhythmias in ATS1 and its overlap with CPVT.","container-title":"Nature Cardiovascular Research","DOI":"10.1038/s44161-022-00145-2","ISSN":"2731-0590","issue":"10","journalAbbreviation":"Nat Cardiovasc Res","language":"en","page":"900-917","source":"DOI.org (Crossref)","title":"Kir2.1 dysfunction at the sarcolemma and the sarcoplasmic reticulum causes arrhythmias in a mouse model of Andersen–Tawil syndrome type 1","volume":"1","author":[{"family":"Macías","given":"Álvaro"},{"family":"González-Guerra","given":"Andrés"},{"family":"Moreno-Manuel","given":"Ana I."},{"family":"Cruz","given":"Francisco M."},{"family":"Gutiérrez","given":"Lilian K."},{"family":"García-Quintáns","given":"Nieves"},{"family":"Roche-Molina","given":"Marta"},{"family":"Bermúdez-Jiménez","given":"Francisco"},{"family":"Andrés","given":"Vicente"},{"family":"Vera-Pedrosa","given":"María Linarejos"},{"family":"Martínez-Carrascoso","given":"Isabel"},{"family":"Bernal","given":"Juan A."},{"family":"Jalife","given":"José"}],"issued":{"date-parts":[["2022",10,17]]}}}],"schema":"https://github.com/citation-style-language/schema/raw/master/csl-citation.json"} </w:instrText>
      </w:r>
      <w:r w:rsidR="00A974DD" w:rsidRPr="001E7605">
        <w:fldChar w:fldCharType="separate"/>
      </w:r>
      <w:r w:rsidR="00A974DD" w:rsidRPr="001E7605">
        <w:rPr>
          <w:rFonts w:cs="Times New Roman"/>
          <w:szCs w:val="24"/>
          <w:vertAlign w:val="superscript"/>
        </w:rPr>
        <w:t>7</w:t>
      </w:r>
      <w:r w:rsidR="00A974DD" w:rsidRPr="001E7605">
        <w:fldChar w:fldCharType="end"/>
      </w:r>
      <w:r w:rsidR="004816C1" w:rsidRPr="001E7605">
        <w:t xml:space="preserve">. The primers described in Table </w:t>
      </w:r>
      <w:r w:rsidR="004D2DCB" w:rsidRPr="001E7605">
        <w:t>1</w:t>
      </w:r>
      <w:r w:rsidR="004816C1" w:rsidRPr="001E7605">
        <w:t xml:space="preserve"> were used in order to introduce the necessary restriction sites (</w:t>
      </w:r>
      <w:proofErr w:type="spellStart"/>
      <w:r w:rsidR="004816C1" w:rsidRPr="001E7605">
        <w:rPr>
          <w:i/>
        </w:rPr>
        <w:t>BamHI</w:t>
      </w:r>
      <w:proofErr w:type="spellEnd"/>
      <w:r w:rsidR="004816C1" w:rsidRPr="001E7605">
        <w:t xml:space="preserve"> and </w:t>
      </w:r>
      <w:proofErr w:type="spellStart"/>
      <w:r w:rsidR="004816C1" w:rsidRPr="001E7605">
        <w:rPr>
          <w:i/>
        </w:rPr>
        <w:t>NotI</w:t>
      </w:r>
      <w:proofErr w:type="spellEnd"/>
      <w:r w:rsidR="004816C1" w:rsidRPr="001E7605">
        <w:t>)</w:t>
      </w:r>
      <w:r w:rsidR="003203B2" w:rsidRPr="001E7605">
        <w:t>. T</w:t>
      </w:r>
      <w:r w:rsidR="004816C1" w:rsidRPr="001E7605">
        <w:t xml:space="preserve">he presence of ITR was checked out by digestion with </w:t>
      </w:r>
      <w:r w:rsidR="004816C1" w:rsidRPr="001E7605">
        <w:rPr>
          <w:i/>
        </w:rPr>
        <w:t>AhdI</w:t>
      </w:r>
      <w:r w:rsidR="004816C1" w:rsidRPr="001E7605">
        <w:t xml:space="preserve"> and </w:t>
      </w:r>
      <w:proofErr w:type="spellStart"/>
      <w:r w:rsidR="004816C1" w:rsidRPr="001E7605">
        <w:rPr>
          <w:i/>
        </w:rPr>
        <w:t>BglI</w:t>
      </w:r>
      <w:proofErr w:type="spellEnd"/>
      <w:r w:rsidR="004816C1" w:rsidRPr="001E7605">
        <w:t>.</w:t>
      </w:r>
      <w:r w:rsidR="00E53430" w:rsidRPr="001E7605">
        <w:t xml:space="preserve"> </w:t>
      </w:r>
      <w:r w:rsidR="004816C1" w:rsidRPr="001E7605">
        <w:t>All cDNA constructions were checked by sequencing.</w:t>
      </w:r>
    </w:p>
    <w:p w14:paraId="52CFFA29" w14:textId="77777777" w:rsidR="00FF720A" w:rsidRPr="001E7605" w:rsidRDefault="00FF720A" w:rsidP="00141395">
      <w:pPr>
        <w:pStyle w:val="Textotesispuntos"/>
        <w:numPr>
          <w:ilvl w:val="0"/>
          <w:numId w:val="0"/>
        </w:numPr>
        <w:rPr>
          <w:color w:val="000000" w:themeColor="text1"/>
          <w:szCs w:val="24"/>
        </w:rPr>
      </w:pPr>
    </w:p>
    <w:p w14:paraId="3F19525C" w14:textId="7CE80234" w:rsidR="0007407C" w:rsidRPr="001E7605" w:rsidRDefault="00122804" w:rsidP="00141395">
      <w:pPr>
        <w:pStyle w:val="Textotesispuntos"/>
        <w:numPr>
          <w:ilvl w:val="0"/>
          <w:numId w:val="0"/>
        </w:numPr>
      </w:pPr>
      <w:r w:rsidRPr="001E7605">
        <w:lastRenderedPageBreak/>
        <w:t xml:space="preserve">Table </w:t>
      </w:r>
      <w:r w:rsidR="004D2DCB" w:rsidRPr="001E7605">
        <w:t>1</w:t>
      </w:r>
      <w:r w:rsidRPr="001E7605">
        <w:t>. Primers used to generate the constructs.</w:t>
      </w:r>
      <w:r w:rsidR="00C84E1D" w:rsidRPr="001E7605">
        <w:t xml:space="preserve"> Restriction sites are shown in bold.</w:t>
      </w:r>
    </w:p>
    <w:tbl>
      <w:tblPr>
        <w:tblStyle w:val="TableGrid"/>
        <w:tblW w:w="0" w:type="auto"/>
        <w:tblLayout w:type="fixed"/>
        <w:tblLook w:val="04A0" w:firstRow="1" w:lastRow="0" w:firstColumn="1" w:lastColumn="0" w:noHBand="0" w:noVBand="1"/>
      </w:tblPr>
      <w:tblGrid>
        <w:gridCol w:w="1555"/>
        <w:gridCol w:w="3543"/>
        <w:gridCol w:w="3918"/>
      </w:tblGrid>
      <w:tr w:rsidR="008C16BC" w:rsidRPr="001E7605" w14:paraId="413097FD" w14:textId="77777777" w:rsidTr="00C82F48">
        <w:tc>
          <w:tcPr>
            <w:tcW w:w="1555"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tcPr>
          <w:p w14:paraId="3ECE5AB7" w14:textId="1D38D935" w:rsidR="008C16BC" w:rsidRPr="001E7605" w:rsidRDefault="008C16BC" w:rsidP="003328B3">
            <w:pPr>
              <w:spacing w:line="276" w:lineRule="auto"/>
              <w:jc w:val="center"/>
              <w:rPr>
                <w:rFonts w:ascii="Garamond" w:hAnsi="Garamond"/>
                <w:b/>
                <w:sz w:val="22"/>
                <w:lang w:val="en-GB"/>
              </w:rPr>
            </w:pPr>
            <w:r w:rsidRPr="001E7605">
              <w:rPr>
                <w:rFonts w:ascii="Garamond" w:hAnsi="Garamond"/>
                <w:b/>
                <w:sz w:val="22"/>
                <w:lang w:val="en-GB"/>
              </w:rPr>
              <w:t>Construction</w:t>
            </w:r>
          </w:p>
        </w:tc>
        <w:tc>
          <w:tcPr>
            <w:tcW w:w="3543" w:type="dxa"/>
            <w:tcBorders>
              <w:top w:val="single" w:sz="4" w:space="0" w:color="auto"/>
              <w:left w:val="single" w:sz="4" w:space="0" w:color="auto"/>
              <w:bottom w:val="double" w:sz="4" w:space="0" w:color="auto"/>
              <w:right w:val="single" w:sz="4" w:space="0" w:color="auto"/>
            </w:tcBorders>
            <w:shd w:val="clear" w:color="auto" w:fill="F2F2F2" w:themeFill="background1" w:themeFillShade="F2"/>
          </w:tcPr>
          <w:p w14:paraId="0532F7F9" w14:textId="6625B323" w:rsidR="008C16BC" w:rsidRPr="001E7605" w:rsidRDefault="008C16BC" w:rsidP="003328B3">
            <w:pPr>
              <w:spacing w:line="276" w:lineRule="auto"/>
              <w:jc w:val="center"/>
              <w:rPr>
                <w:rFonts w:ascii="Garamond" w:hAnsi="Garamond"/>
                <w:b/>
                <w:sz w:val="22"/>
                <w:lang w:val="en-GB"/>
              </w:rPr>
            </w:pPr>
            <w:proofErr w:type="spellStart"/>
            <w:r w:rsidRPr="001E7605">
              <w:rPr>
                <w:rFonts w:ascii="Garamond" w:hAnsi="Garamond"/>
                <w:b/>
                <w:sz w:val="22"/>
                <w:lang w:val="en-GB"/>
              </w:rPr>
              <w:t>Fw</w:t>
            </w:r>
            <w:proofErr w:type="spellEnd"/>
            <w:r w:rsidRPr="001E7605">
              <w:rPr>
                <w:rFonts w:ascii="Garamond" w:hAnsi="Garamond"/>
                <w:b/>
                <w:sz w:val="22"/>
                <w:lang w:val="en-GB"/>
              </w:rPr>
              <w:t xml:space="preserve"> (5’ – 3’)</w:t>
            </w:r>
          </w:p>
        </w:tc>
        <w:tc>
          <w:tcPr>
            <w:tcW w:w="3918"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tcPr>
          <w:p w14:paraId="0D7AF5B3" w14:textId="4853766E" w:rsidR="008C16BC" w:rsidRPr="001E7605" w:rsidRDefault="008C16BC" w:rsidP="003328B3">
            <w:pPr>
              <w:spacing w:line="276" w:lineRule="auto"/>
              <w:jc w:val="center"/>
              <w:rPr>
                <w:rFonts w:ascii="Garamond" w:hAnsi="Garamond"/>
                <w:b/>
                <w:sz w:val="22"/>
                <w:lang w:val="en-GB"/>
              </w:rPr>
            </w:pPr>
            <w:proofErr w:type="spellStart"/>
            <w:r w:rsidRPr="001E7605">
              <w:rPr>
                <w:rFonts w:ascii="Garamond" w:hAnsi="Garamond"/>
                <w:b/>
                <w:sz w:val="22"/>
                <w:lang w:val="en-GB"/>
              </w:rPr>
              <w:t>Rv</w:t>
            </w:r>
            <w:proofErr w:type="spellEnd"/>
            <w:r w:rsidRPr="001E7605">
              <w:rPr>
                <w:rFonts w:ascii="Garamond" w:hAnsi="Garamond"/>
                <w:b/>
                <w:sz w:val="22"/>
                <w:lang w:val="en-GB"/>
              </w:rPr>
              <w:t xml:space="preserve"> (5’ – 3’)</w:t>
            </w:r>
          </w:p>
        </w:tc>
      </w:tr>
      <w:tr w:rsidR="008C16BC" w:rsidRPr="001E7605" w14:paraId="16E495BC" w14:textId="77777777" w:rsidTr="00C82F48">
        <w:tc>
          <w:tcPr>
            <w:tcW w:w="1555" w:type="dxa"/>
            <w:tcBorders>
              <w:top w:val="double" w:sz="4" w:space="0" w:color="auto"/>
              <w:left w:val="single" w:sz="4" w:space="0" w:color="auto"/>
              <w:bottom w:val="nil"/>
              <w:right w:val="single" w:sz="4" w:space="0" w:color="auto"/>
            </w:tcBorders>
            <w:vAlign w:val="center"/>
          </w:tcPr>
          <w:p w14:paraId="00439516" w14:textId="2FF81EE2" w:rsidR="008C16BC" w:rsidRPr="001E7605" w:rsidRDefault="008C16BC" w:rsidP="003328B3">
            <w:pPr>
              <w:spacing w:line="276" w:lineRule="auto"/>
              <w:jc w:val="center"/>
              <w:rPr>
                <w:rFonts w:ascii="Garamond" w:hAnsi="Garamond"/>
                <w:color w:val="000000" w:themeColor="text1"/>
                <w:sz w:val="22"/>
                <w:szCs w:val="22"/>
                <w:lang w:val="en-GB"/>
              </w:rPr>
            </w:pPr>
            <w:r w:rsidRPr="001E7605">
              <w:rPr>
                <w:rFonts w:ascii="Garamond" w:hAnsi="Garamond"/>
                <w:color w:val="000000" w:themeColor="text1"/>
                <w:sz w:val="22"/>
                <w:szCs w:val="22"/>
              </w:rPr>
              <w:t xml:space="preserve">Lgi3 IRES </w:t>
            </w:r>
            <w:proofErr w:type="spellStart"/>
            <w:r w:rsidRPr="001E7605">
              <w:rPr>
                <w:rFonts w:ascii="Garamond" w:hAnsi="Garamond"/>
                <w:color w:val="000000" w:themeColor="text1"/>
                <w:sz w:val="22"/>
                <w:szCs w:val="22"/>
              </w:rPr>
              <w:t>mCherry</w:t>
            </w:r>
            <w:proofErr w:type="spellEnd"/>
          </w:p>
        </w:tc>
        <w:tc>
          <w:tcPr>
            <w:tcW w:w="3543" w:type="dxa"/>
            <w:tcBorders>
              <w:top w:val="double" w:sz="4" w:space="0" w:color="auto"/>
              <w:left w:val="single" w:sz="4" w:space="0" w:color="auto"/>
              <w:bottom w:val="nil"/>
              <w:right w:val="single" w:sz="4" w:space="0" w:color="auto"/>
            </w:tcBorders>
          </w:tcPr>
          <w:p w14:paraId="693D90B3" w14:textId="28282AA2" w:rsidR="008C16BC" w:rsidRPr="001E7605" w:rsidRDefault="008C16BC" w:rsidP="003328B3">
            <w:pPr>
              <w:spacing w:line="276" w:lineRule="auto"/>
              <w:jc w:val="center"/>
              <w:rPr>
                <w:rFonts w:ascii="Garamond" w:hAnsi="Garamond"/>
                <w:color w:val="000000" w:themeColor="text1"/>
                <w:sz w:val="22"/>
                <w:szCs w:val="22"/>
                <w:lang w:val="en-GB"/>
              </w:rPr>
            </w:pPr>
            <w:r w:rsidRPr="001E7605">
              <w:rPr>
                <w:rFonts w:ascii="Garamond" w:hAnsi="Garamond"/>
                <w:color w:val="000000" w:themeColor="text1"/>
                <w:sz w:val="22"/>
                <w:szCs w:val="22"/>
                <w:lang w:val="en-GB"/>
              </w:rPr>
              <w:t>ATA</w:t>
            </w:r>
            <w:r w:rsidRPr="001E7605">
              <w:rPr>
                <w:rFonts w:ascii="Garamond" w:hAnsi="Garamond"/>
                <w:b/>
                <w:bCs/>
                <w:color w:val="000000" w:themeColor="text1"/>
                <w:sz w:val="22"/>
                <w:szCs w:val="22"/>
                <w:lang w:val="en-GB"/>
              </w:rPr>
              <w:t>TCTAGA</w:t>
            </w:r>
            <w:r w:rsidRPr="001E7605">
              <w:rPr>
                <w:rFonts w:ascii="Garamond" w:hAnsi="Garamond"/>
                <w:color w:val="000000" w:themeColor="text1"/>
                <w:sz w:val="22"/>
                <w:szCs w:val="22"/>
                <w:lang w:val="en-GB"/>
              </w:rPr>
              <w:t>ATGGCGGGGCTGCGGGC</w:t>
            </w:r>
          </w:p>
        </w:tc>
        <w:tc>
          <w:tcPr>
            <w:tcW w:w="3918" w:type="dxa"/>
            <w:tcBorders>
              <w:top w:val="double" w:sz="4" w:space="0" w:color="auto"/>
              <w:left w:val="single" w:sz="4" w:space="0" w:color="auto"/>
              <w:bottom w:val="nil"/>
              <w:right w:val="single" w:sz="4" w:space="0" w:color="auto"/>
            </w:tcBorders>
            <w:vAlign w:val="center"/>
          </w:tcPr>
          <w:p w14:paraId="3BBB2E1B" w14:textId="70F4AB24" w:rsidR="008C16BC" w:rsidRPr="001E7605" w:rsidRDefault="008C16BC" w:rsidP="003328B3">
            <w:pPr>
              <w:spacing w:line="276" w:lineRule="auto"/>
              <w:jc w:val="center"/>
              <w:rPr>
                <w:rFonts w:ascii="Garamond" w:hAnsi="Garamond"/>
                <w:sz w:val="22"/>
                <w:szCs w:val="22"/>
                <w:lang w:val="en-GB"/>
              </w:rPr>
            </w:pPr>
            <w:r w:rsidRPr="001E7605">
              <w:rPr>
                <w:rFonts w:ascii="Garamond" w:hAnsi="Garamond"/>
                <w:sz w:val="22"/>
                <w:szCs w:val="22"/>
                <w:lang w:val="en-GB"/>
              </w:rPr>
              <w:t>CC</w:t>
            </w:r>
            <w:r w:rsidRPr="001E7605">
              <w:rPr>
                <w:rFonts w:ascii="Garamond" w:hAnsi="Garamond"/>
                <w:b/>
                <w:bCs/>
                <w:sz w:val="22"/>
                <w:szCs w:val="22"/>
                <w:lang w:val="en-GB"/>
              </w:rPr>
              <w:t>CTCGAG</w:t>
            </w:r>
            <w:r w:rsidRPr="001E7605">
              <w:rPr>
                <w:rFonts w:ascii="Garamond" w:hAnsi="Garamond"/>
                <w:sz w:val="22"/>
                <w:szCs w:val="22"/>
                <w:lang w:val="en-GB"/>
              </w:rPr>
              <w:t>CTAGGCACTGAGATCCACCACAAT</w:t>
            </w:r>
          </w:p>
        </w:tc>
      </w:tr>
      <w:tr w:rsidR="008C16BC" w:rsidRPr="001E7605" w14:paraId="2452A0D5" w14:textId="77777777" w:rsidTr="00C82F48">
        <w:tc>
          <w:tcPr>
            <w:tcW w:w="1555" w:type="dxa"/>
            <w:tcBorders>
              <w:top w:val="nil"/>
              <w:left w:val="single" w:sz="4" w:space="0" w:color="auto"/>
              <w:bottom w:val="nil"/>
              <w:right w:val="single" w:sz="4" w:space="0" w:color="auto"/>
            </w:tcBorders>
            <w:vAlign w:val="center"/>
          </w:tcPr>
          <w:p w14:paraId="5A50F994" w14:textId="56334D42" w:rsidR="008C16BC" w:rsidRPr="001E7605" w:rsidRDefault="008C16BC" w:rsidP="003328B3">
            <w:pPr>
              <w:spacing w:line="276" w:lineRule="auto"/>
              <w:jc w:val="center"/>
              <w:rPr>
                <w:rFonts w:ascii="Garamond" w:hAnsi="Garamond"/>
                <w:color w:val="000000" w:themeColor="text1"/>
                <w:sz w:val="22"/>
                <w:szCs w:val="22"/>
                <w:lang w:val="en-GB"/>
              </w:rPr>
            </w:pPr>
            <w:r w:rsidRPr="001E7605">
              <w:rPr>
                <w:rFonts w:ascii="Garamond" w:hAnsi="Garamond"/>
                <w:color w:val="000000" w:themeColor="text1"/>
                <w:sz w:val="22"/>
                <w:szCs w:val="22"/>
              </w:rPr>
              <w:t xml:space="preserve">Lgi4 IRES </w:t>
            </w:r>
            <w:proofErr w:type="spellStart"/>
            <w:r w:rsidRPr="001E7605">
              <w:rPr>
                <w:rFonts w:ascii="Garamond" w:hAnsi="Garamond"/>
                <w:color w:val="000000" w:themeColor="text1"/>
                <w:sz w:val="22"/>
                <w:szCs w:val="22"/>
              </w:rPr>
              <w:t>mCherry</w:t>
            </w:r>
            <w:proofErr w:type="spellEnd"/>
          </w:p>
        </w:tc>
        <w:tc>
          <w:tcPr>
            <w:tcW w:w="3543" w:type="dxa"/>
            <w:tcBorders>
              <w:top w:val="nil"/>
              <w:left w:val="single" w:sz="4" w:space="0" w:color="auto"/>
              <w:bottom w:val="nil"/>
              <w:right w:val="single" w:sz="4" w:space="0" w:color="auto"/>
            </w:tcBorders>
          </w:tcPr>
          <w:p w14:paraId="620D5393" w14:textId="7B2FCB40" w:rsidR="008C16BC" w:rsidRPr="001E7605" w:rsidRDefault="00B07055" w:rsidP="003328B3">
            <w:pPr>
              <w:spacing w:line="276" w:lineRule="auto"/>
              <w:jc w:val="center"/>
              <w:rPr>
                <w:rFonts w:ascii="Garamond" w:hAnsi="Garamond"/>
                <w:color w:val="000000" w:themeColor="text1"/>
                <w:sz w:val="22"/>
                <w:szCs w:val="22"/>
                <w:lang w:val="en-GB"/>
              </w:rPr>
            </w:pPr>
            <w:r w:rsidRPr="001E7605">
              <w:rPr>
                <w:rFonts w:ascii="Garamond" w:hAnsi="Garamond"/>
                <w:color w:val="000000" w:themeColor="text1"/>
                <w:sz w:val="22"/>
                <w:szCs w:val="22"/>
                <w:lang w:val="en-GB"/>
              </w:rPr>
              <w:t>CGC</w:t>
            </w:r>
            <w:r w:rsidRPr="001E7605">
              <w:rPr>
                <w:rFonts w:ascii="Garamond" w:hAnsi="Garamond"/>
                <w:b/>
                <w:bCs/>
                <w:color w:val="000000" w:themeColor="text1"/>
                <w:sz w:val="22"/>
                <w:szCs w:val="22"/>
                <w:lang w:val="en-GB"/>
              </w:rPr>
              <w:t>TCTAGA</w:t>
            </w:r>
            <w:r w:rsidRPr="001E7605">
              <w:rPr>
                <w:rFonts w:ascii="Garamond" w:hAnsi="Garamond"/>
                <w:color w:val="000000" w:themeColor="text1"/>
                <w:sz w:val="22"/>
                <w:szCs w:val="22"/>
                <w:lang w:val="en-GB"/>
              </w:rPr>
              <w:t>ATGGGAGGGGCAGGCATTC</w:t>
            </w:r>
          </w:p>
        </w:tc>
        <w:tc>
          <w:tcPr>
            <w:tcW w:w="3918" w:type="dxa"/>
            <w:tcBorders>
              <w:top w:val="nil"/>
              <w:left w:val="single" w:sz="4" w:space="0" w:color="auto"/>
              <w:bottom w:val="nil"/>
              <w:right w:val="single" w:sz="4" w:space="0" w:color="auto"/>
            </w:tcBorders>
            <w:vAlign w:val="center"/>
          </w:tcPr>
          <w:p w14:paraId="6F838A04" w14:textId="05933C58" w:rsidR="008C16BC" w:rsidRPr="001E7605" w:rsidRDefault="00B07055" w:rsidP="003328B3">
            <w:pPr>
              <w:spacing w:line="276" w:lineRule="auto"/>
              <w:jc w:val="center"/>
              <w:rPr>
                <w:rFonts w:ascii="Garamond" w:hAnsi="Garamond"/>
                <w:sz w:val="22"/>
                <w:szCs w:val="22"/>
                <w:lang w:val="en-GB"/>
              </w:rPr>
            </w:pPr>
            <w:r w:rsidRPr="001E7605">
              <w:rPr>
                <w:rFonts w:ascii="Garamond" w:hAnsi="Garamond"/>
                <w:sz w:val="22"/>
                <w:szCs w:val="22"/>
                <w:lang w:val="en-GB"/>
              </w:rPr>
              <w:t>ATA</w:t>
            </w:r>
            <w:r w:rsidRPr="001E7605">
              <w:rPr>
                <w:rFonts w:ascii="Garamond" w:hAnsi="Garamond"/>
                <w:b/>
                <w:bCs/>
                <w:sz w:val="22"/>
                <w:szCs w:val="22"/>
                <w:lang w:val="en-GB"/>
              </w:rPr>
              <w:t>CTCGAG</w:t>
            </w:r>
            <w:r w:rsidRPr="001E7605">
              <w:rPr>
                <w:rFonts w:ascii="Garamond" w:hAnsi="Garamond"/>
                <w:sz w:val="22"/>
                <w:szCs w:val="22"/>
                <w:lang w:val="en-GB"/>
              </w:rPr>
              <w:t>AGTTCAGGCACTGAGGTCGATCTC</w:t>
            </w:r>
          </w:p>
        </w:tc>
      </w:tr>
      <w:tr w:rsidR="008C16BC" w:rsidRPr="001E7605" w14:paraId="0B6C672F" w14:textId="77777777" w:rsidTr="00C82F48">
        <w:trPr>
          <w:trHeight w:val="425"/>
        </w:trPr>
        <w:tc>
          <w:tcPr>
            <w:tcW w:w="1555" w:type="dxa"/>
            <w:tcBorders>
              <w:top w:val="nil"/>
              <w:left w:val="single" w:sz="4" w:space="0" w:color="auto"/>
              <w:bottom w:val="nil"/>
              <w:right w:val="single" w:sz="4" w:space="0" w:color="auto"/>
            </w:tcBorders>
            <w:vAlign w:val="center"/>
          </w:tcPr>
          <w:p w14:paraId="10F0DC14" w14:textId="3027C550" w:rsidR="008C16BC" w:rsidRPr="001E7605" w:rsidRDefault="008C16BC" w:rsidP="008C16BC">
            <w:pPr>
              <w:spacing w:line="276" w:lineRule="auto"/>
              <w:jc w:val="center"/>
              <w:rPr>
                <w:rFonts w:ascii="Garamond" w:hAnsi="Garamond"/>
                <w:color w:val="000000" w:themeColor="text1"/>
                <w:sz w:val="22"/>
                <w:szCs w:val="22"/>
                <w:lang w:val="en-GB"/>
              </w:rPr>
            </w:pPr>
            <w:r w:rsidRPr="001E7605">
              <w:rPr>
                <w:rFonts w:ascii="Garamond" w:hAnsi="Garamond"/>
                <w:color w:val="000000" w:themeColor="text1"/>
                <w:sz w:val="22"/>
                <w:szCs w:val="22"/>
                <w:lang w:val="en-GB"/>
              </w:rPr>
              <w:t xml:space="preserve">Lgi4 FLAG </w:t>
            </w:r>
            <w:proofErr w:type="spellStart"/>
            <w:r w:rsidRPr="001E7605">
              <w:rPr>
                <w:rFonts w:ascii="Garamond" w:hAnsi="Garamond"/>
                <w:color w:val="000000" w:themeColor="text1"/>
                <w:sz w:val="22"/>
                <w:szCs w:val="22"/>
                <w:lang w:val="en-GB"/>
              </w:rPr>
              <w:t>Myc</w:t>
            </w:r>
            <w:proofErr w:type="spellEnd"/>
            <w:r w:rsidRPr="001E7605">
              <w:rPr>
                <w:rFonts w:ascii="Garamond" w:hAnsi="Garamond"/>
                <w:color w:val="000000" w:themeColor="text1"/>
                <w:sz w:val="22"/>
                <w:szCs w:val="22"/>
                <w:lang w:val="en-GB"/>
              </w:rPr>
              <w:t xml:space="preserve"> pCMV6</w:t>
            </w:r>
          </w:p>
        </w:tc>
        <w:tc>
          <w:tcPr>
            <w:tcW w:w="3543" w:type="dxa"/>
            <w:tcBorders>
              <w:top w:val="nil"/>
              <w:left w:val="single" w:sz="4" w:space="0" w:color="auto"/>
              <w:bottom w:val="nil"/>
              <w:right w:val="single" w:sz="4" w:space="0" w:color="auto"/>
            </w:tcBorders>
          </w:tcPr>
          <w:p w14:paraId="6829530D" w14:textId="00C96967" w:rsidR="008C16BC" w:rsidRPr="001E7605" w:rsidRDefault="008C16BC" w:rsidP="008C16BC">
            <w:pPr>
              <w:spacing w:line="276" w:lineRule="auto"/>
              <w:jc w:val="center"/>
              <w:rPr>
                <w:rFonts w:ascii="Garamond" w:hAnsi="Garamond"/>
                <w:color w:val="000000" w:themeColor="text1"/>
                <w:sz w:val="22"/>
                <w:szCs w:val="22"/>
                <w:lang w:val="en-GB"/>
              </w:rPr>
            </w:pPr>
            <w:r w:rsidRPr="001E7605">
              <w:rPr>
                <w:rFonts w:ascii="Garamond" w:hAnsi="Garamond"/>
                <w:color w:val="000000" w:themeColor="text1"/>
                <w:sz w:val="22"/>
                <w:szCs w:val="22"/>
                <w:lang w:val="en-GB"/>
              </w:rPr>
              <w:t>GCCGCC</w:t>
            </w:r>
            <w:r w:rsidRPr="001E7605">
              <w:rPr>
                <w:rFonts w:ascii="Garamond" w:hAnsi="Garamond"/>
                <w:b/>
                <w:bCs/>
                <w:color w:val="000000" w:themeColor="text1"/>
                <w:sz w:val="22"/>
                <w:szCs w:val="22"/>
                <w:lang w:val="en-GB"/>
              </w:rPr>
              <w:t>GCGATCGC</w:t>
            </w:r>
            <w:r w:rsidRPr="001E7605">
              <w:rPr>
                <w:rFonts w:ascii="Garamond" w:hAnsi="Garamond"/>
                <w:color w:val="000000" w:themeColor="text1"/>
                <w:sz w:val="22"/>
                <w:szCs w:val="22"/>
                <w:lang w:val="en-GB"/>
              </w:rPr>
              <w:t>CATGGGAGGGGCAGG</w:t>
            </w:r>
          </w:p>
        </w:tc>
        <w:tc>
          <w:tcPr>
            <w:tcW w:w="3918" w:type="dxa"/>
            <w:tcBorders>
              <w:top w:val="nil"/>
              <w:left w:val="single" w:sz="4" w:space="0" w:color="auto"/>
              <w:bottom w:val="nil"/>
              <w:right w:val="single" w:sz="4" w:space="0" w:color="auto"/>
            </w:tcBorders>
            <w:vAlign w:val="center"/>
          </w:tcPr>
          <w:p w14:paraId="0337B6CC" w14:textId="49DD5801" w:rsidR="008C16BC" w:rsidRPr="001E7605" w:rsidRDefault="008C16BC" w:rsidP="008C16BC">
            <w:pPr>
              <w:spacing w:line="276" w:lineRule="auto"/>
              <w:jc w:val="center"/>
              <w:rPr>
                <w:rFonts w:ascii="Garamond" w:hAnsi="Garamond"/>
                <w:sz w:val="22"/>
                <w:szCs w:val="22"/>
                <w:lang w:val="en-GB"/>
              </w:rPr>
            </w:pPr>
            <w:r w:rsidRPr="001E7605">
              <w:rPr>
                <w:rFonts w:ascii="Garamond" w:hAnsi="Garamond"/>
                <w:sz w:val="22"/>
                <w:szCs w:val="22"/>
                <w:lang w:val="en-GB"/>
              </w:rPr>
              <w:t>CGGCCGCGT</w:t>
            </w:r>
            <w:r w:rsidRPr="001E7605">
              <w:rPr>
                <w:rFonts w:ascii="Garamond" w:hAnsi="Garamond"/>
                <w:b/>
                <w:bCs/>
                <w:sz w:val="22"/>
                <w:szCs w:val="22"/>
                <w:lang w:val="en-GB"/>
              </w:rPr>
              <w:t>ACGCGT</w:t>
            </w:r>
            <w:r w:rsidRPr="001E7605">
              <w:rPr>
                <w:rFonts w:ascii="Garamond" w:hAnsi="Garamond"/>
                <w:sz w:val="22"/>
                <w:szCs w:val="22"/>
                <w:lang w:val="en-GB"/>
              </w:rPr>
              <w:t>GGCACTGAGGTCGATCTC</w:t>
            </w:r>
          </w:p>
        </w:tc>
      </w:tr>
      <w:tr w:rsidR="008C16BC" w:rsidRPr="001E7605" w14:paraId="7B7B838B" w14:textId="77777777" w:rsidTr="00C82F48">
        <w:tc>
          <w:tcPr>
            <w:tcW w:w="1555" w:type="dxa"/>
            <w:tcBorders>
              <w:top w:val="nil"/>
              <w:left w:val="single" w:sz="4" w:space="0" w:color="auto"/>
              <w:bottom w:val="nil"/>
              <w:right w:val="single" w:sz="4" w:space="0" w:color="auto"/>
            </w:tcBorders>
            <w:vAlign w:val="center"/>
          </w:tcPr>
          <w:p w14:paraId="58BF3CF5" w14:textId="7458FE32" w:rsidR="008C16BC" w:rsidRPr="001E7605" w:rsidRDefault="008C16BC" w:rsidP="008C16BC">
            <w:pPr>
              <w:spacing w:line="276" w:lineRule="auto"/>
              <w:jc w:val="center"/>
              <w:rPr>
                <w:rFonts w:ascii="Garamond" w:hAnsi="Garamond"/>
                <w:color w:val="000000" w:themeColor="text1"/>
                <w:sz w:val="22"/>
                <w:szCs w:val="22"/>
                <w:lang w:val="en-GB"/>
              </w:rPr>
            </w:pPr>
            <w:r w:rsidRPr="001E7605">
              <w:rPr>
                <w:rFonts w:ascii="Garamond" w:hAnsi="Garamond"/>
                <w:color w:val="000000" w:themeColor="text1"/>
                <w:sz w:val="22"/>
                <w:szCs w:val="22"/>
                <w:lang w:val="en-GB"/>
              </w:rPr>
              <w:t>Lgi4pAAV IRES Tomato</w:t>
            </w:r>
          </w:p>
        </w:tc>
        <w:tc>
          <w:tcPr>
            <w:tcW w:w="3543" w:type="dxa"/>
            <w:tcBorders>
              <w:top w:val="nil"/>
              <w:left w:val="single" w:sz="4" w:space="0" w:color="auto"/>
              <w:bottom w:val="nil"/>
              <w:right w:val="single" w:sz="4" w:space="0" w:color="auto"/>
            </w:tcBorders>
          </w:tcPr>
          <w:p w14:paraId="5A7AE1DC" w14:textId="7245F452" w:rsidR="008C16BC" w:rsidRPr="001E7605" w:rsidRDefault="008C16BC" w:rsidP="008C16BC">
            <w:pPr>
              <w:spacing w:line="276" w:lineRule="auto"/>
              <w:jc w:val="center"/>
              <w:rPr>
                <w:rFonts w:ascii="Garamond" w:hAnsi="Garamond"/>
                <w:color w:val="000000" w:themeColor="text1"/>
                <w:sz w:val="22"/>
                <w:szCs w:val="22"/>
                <w:lang w:val="en-GB"/>
              </w:rPr>
            </w:pPr>
            <w:r w:rsidRPr="001E7605">
              <w:rPr>
                <w:rFonts w:ascii="Garamond" w:hAnsi="Garamond"/>
                <w:color w:val="000000" w:themeColor="text1"/>
                <w:sz w:val="22"/>
                <w:szCs w:val="22"/>
                <w:lang w:val="en-GB"/>
              </w:rPr>
              <w:t>TTGCTA</w:t>
            </w:r>
            <w:r w:rsidRPr="001E7605">
              <w:rPr>
                <w:rFonts w:ascii="Garamond" w:hAnsi="Garamond"/>
                <w:b/>
                <w:bCs/>
                <w:color w:val="000000" w:themeColor="text1"/>
                <w:sz w:val="22"/>
                <w:szCs w:val="22"/>
                <w:lang w:val="en-GB"/>
              </w:rPr>
              <w:t>GGATCC</w:t>
            </w:r>
            <w:r w:rsidRPr="001E7605">
              <w:rPr>
                <w:rFonts w:ascii="Garamond" w:hAnsi="Garamond"/>
                <w:color w:val="000000" w:themeColor="text1"/>
                <w:sz w:val="22"/>
                <w:szCs w:val="22"/>
                <w:lang w:val="en-GB"/>
              </w:rPr>
              <w:t>CCCATGGGAGGGGCAGG</w:t>
            </w:r>
          </w:p>
        </w:tc>
        <w:tc>
          <w:tcPr>
            <w:tcW w:w="3918" w:type="dxa"/>
            <w:tcBorders>
              <w:top w:val="nil"/>
              <w:left w:val="single" w:sz="4" w:space="0" w:color="auto"/>
              <w:bottom w:val="nil"/>
              <w:right w:val="single" w:sz="4" w:space="0" w:color="auto"/>
            </w:tcBorders>
            <w:vAlign w:val="center"/>
          </w:tcPr>
          <w:p w14:paraId="3B926D65" w14:textId="736E53A5" w:rsidR="008C16BC" w:rsidRPr="001E7605" w:rsidRDefault="008C16BC" w:rsidP="008C16BC">
            <w:pPr>
              <w:spacing w:line="276" w:lineRule="auto"/>
              <w:jc w:val="center"/>
              <w:rPr>
                <w:rFonts w:ascii="Garamond" w:hAnsi="Garamond"/>
                <w:sz w:val="22"/>
                <w:szCs w:val="22"/>
                <w:lang w:val="en-GB"/>
              </w:rPr>
            </w:pPr>
            <w:r w:rsidRPr="001E7605">
              <w:rPr>
                <w:rFonts w:ascii="Garamond" w:hAnsi="Garamond"/>
                <w:sz w:val="22"/>
                <w:szCs w:val="22"/>
                <w:lang w:val="en-GB"/>
              </w:rPr>
              <w:t>CCGTCGA</w:t>
            </w:r>
            <w:r w:rsidRPr="001E7605">
              <w:rPr>
                <w:rFonts w:ascii="Garamond" w:hAnsi="Garamond"/>
                <w:b/>
                <w:bCs/>
                <w:sz w:val="22"/>
                <w:szCs w:val="22"/>
                <w:lang w:val="en-GB"/>
              </w:rPr>
              <w:t>GCGGCCGC</w:t>
            </w:r>
            <w:r w:rsidRPr="001E7605">
              <w:rPr>
                <w:rFonts w:ascii="Garamond" w:hAnsi="Garamond"/>
                <w:sz w:val="22"/>
                <w:szCs w:val="22"/>
                <w:lang w:val="en-GB"/>
              </w:rPr>
              <w:t>AGTCAGGCACTGAGG</w:t>
            </w:r>
          </w:p>
        </w:tc>
      </w:tr>
      <w:tr w:rsidR="008C16BC" w:rsidRPr="001E7605" w14:paraId="53FBF655" w14:textId="77777777" w:rsidTr="00C82F48">
        <w:tc>
          <w:tcPr>
            <w:tcW w:w="1555" w:type="dxa"/>
            <w:tcBorders>
              <w:top w:val="nil"/>
              <w:left w:val="single" w:sz="4" w:space="0" w:color="auto"/>
              <w:bottom w:val="single" w:sz="4" w:space="0" w:color="auto"/>
              <w:right w:val="single" w:sz="4" w:space="0" w:color="auto"/>
            </w:tcBorders>
            <w:vAlign w:val="center"/>
          </w:tcPr>
          <w:p w14:paraId="4C72731E" w14:textId="1E7C8282" w:rsidR="008C16BC" w:rsidRPr="001E7605" w:rsidRDefault="008C16BC" w:rsidP="008C16BC">
            <w:pPr>
              <w:spacing w:line="276" w:lineRule="auto"/>
              <w:jc w:val="center"/>
              <w:rPr>
                <w:rFonts w:ascii="Garamond" w:hAnsi="Garamond"/>
                <w:color w:val="000000" w:themeColor="text1"/>
                <w:sz w:val="22"/>
                <w:szCs w:val="22"/>
                <w:lang w:val="en-GB"/>
              </w:rPr>
            </w:pPr>
            <w:r w:rsidRPr="001E7605">
              <w:rPr>
                <w:rFonts w:ascii="Garamond" w:hAnsi="Garamond"/>
                <w:color w:val="000000" w:themeColor="text1"/>
                <w:sz w:val="22"/>
                <w:szCs w:val="22"/>
                <w:lang w:val="en-GB"/>
              </w:rPr>
              <w:t xml:space="preserve">ADAM23 </w:t>
            </w:r>
            <w:r w:rsidRPr="001E7605">
              <w:rPr>
                <w:rFonts w:ascii="Garamond" w:hAnsi="Garamond"/>
                <w:color w:val="000000" w:themeColor="text1"/>
                <w:sz w:val="22"/>
                <w:szCs w:val="22"/>
              </w:rPr>
              <w:t>IRES GFP</w:t>
            </w:r>
            <w:r w:rsidRPr="001E7605">
              <w:rPr>
                <w:rFonts w:ascii="Garamond" w:hAnsi="Garamond"/>
                <w:color w:val="000000" w:themeColor="text1"/>
                <w:sz w:val="22"/>
                <w:szCs w:val="22"/>
                <w:lang w:val="en-GB"/>
              </w:rPr>
              <w:t xml:space="preserve"> </w:t>
            </w:r>
          </w:p>
        </w:tc>
        <w:tc>
          <w:tcPr>
            <w:tcW w:w="3543" w:type="dxa"/>
            <w:tcBorders>
              <w:top w:val="nil"/>
              <w:left w:val="single" w:sz="4" w:space="0" w:color="auto"/>
              <w:bottom w:val="single" w:sz="4" w:space="0" w:color="auto"/>
              <w:right w:val="single" w:sz="4" w:space="0" w:color="auto"/>
            </w:tcBorders>
          </w:tcPr>
          <w:p w14:paraId="6DBC6ED9" w14:textId="5CAF0355" w:rsidR="008C16BC" w:rsidRPr="001E7605" w:rsidRDefault="0006719D" w:rsidP="008C16BC">
            <w:pPr>
              <w:spacing w:line="276" w:lineRule="auto"/>
              <w:jc w:val="center"/>
              <w:rPr>
                <w:rFonts w:ascii="Garamond" w:hAnsi="Garamond"/>
                <w:color w:val="000000" w:themeColor="text1"/>
                <w:sz w:val="22"/>
                <w:szCs w:val="22"/>
                <w:lang w:val="en-GB"/>
              </w:rPr>
            </w:pPr>
            <w:r w:rsidRPr="001E7605">
              <w:rPr>
                <w:rFonts w:ascii="Garamond" w:hAnsi="Garamond"/>
                <w:color w:val="000000" w:themeColor="text1"/>
                <w:sz w:val="22"/>
                <w:szCs w:val="22"/>
                <w:lang w:val="en-GB"/>
              </w:rPr>
              <w:t>ATA</w:t>
            </w:r>
            <w:r w:rsidRPr="001E7605">
              <w:rPr>
                <w:rFonts w:ascii="Garamond" w:hAnsi="Garamond"/>
                <w:b/>
                <w:bCs/>
                <w:color w:val="000000" w:themeColor="text1"/>
                <w:sz w:val="22"/>
                <w:szCs w:val="22"/>
                <w:lang w:val="en-GB"/>
              </w:rPr>
              <w:t>TCTAGA</w:t>
            </w:r>
            <w:r w:rsidRPr="001E7605">
              <w:rPr>
                <w:rFonts w:ascii="Garamond" w:hAnsi="Garamond"/>
                <w:color w:val="000000" w:themeColor="text1"/>
                <w:sz w:val="22"/>
                <w:szCs w:val="22"/>
                <w:lang w:val="en-GB"/>
              </w:rPr>
              <w:t>ACCATGAAGCCGCCCGGCGC</w:t>
            </w:r>
          </w:p>
        </w:tc>
        <w:tc>
          <w:tcPr>
            <w:tcW w:w="3918" w:type="dxa"/>
            <w:tcBorders>
              <w:top w:val="nil"/>
              <w:left w:val="single" w:sz="4" w:space="0" w:color="auto"/>
              <w:bottom w:val="single" w:sz="4" w:space="0" w:color="auto"/>
              <w:right w:val="single" w:sz="4" w:space="0" w:color="auto"/>
            </w:tcBorders>
            <w:vAlign w:val="center"/>
          </w:tcPr>
          <w:p w14:paraId="5DB7170B" w14:textId="6D7A4411" w:rsidR="008C16BC" w:rsidRPr="001E7605" w:rsidRDefault="0006719D" w:rsidP="008C16BC">
            <w:pPr>
              <w:spacing w:line="276" w:lineRule="auto"/>
              <w:jc w:val="center"/>
              <w:rPr>
                <w:rFonts w:ascii="Garamond" w:hAnsi="Garamond"/>
                <w:sz w:val="22"/>
                <w:szCs w:val="22"/>
                <w:lang w:val="en-GB"/>
              </w:rPr>
            </w:pPr>
            <w:r w:rsidRPr="001E7605">
              <w:rPr>
                <w:rFonts w:ascii="Garamond" w:hAnsi="Garamond"/>
                <w:b/>
                <w:bCs/>
                <w:sz w:val="22"/>
                <w:szCs w:val="22"/>
                <w:lang w:val="en-GB"/>
              </w:rPr>
              <w:t>CCCGGG</w:t>
            </w:r>
            <w:r w:rsidRPr="001E7605">
              <w:rPr>
                <w:rFonts w:ascii="Garamond" w:hAnsi="Garamond"/>
                <w:sz w:val="22"/>
                <w:szCs w:val="22"/>
                <w:lang w:val="en-GB"/>
              </w:rPr>
              <w:t>TCAGATGGGGCCTTGCTGAGTAGG</w:t>
            </w:r>
          </w:p>
        </w:tc>
      </w:tr>
    </w:tbl>
    <w:p w14:paraId="75601906" w14:textId="10E25C88" w:rsidR="003203B2" w:rsidRPr="001E7605" w:rsidRDefault="008801B0">
      <w:pPr>
        <w:pStyle w:val="TextoTesis"/>
      </w:pPr>
      <w:r w:rsidRPr="001E7605">
        <w:t xml:space="preserve">All transient transfections in HEK293, </w:t>
      </w:r>
      <w:proofErr w:type="spellStart"/>
      <w:r w:rsidRPr="001E7605">
        <w:rPr>
          <w:i/>
          <w:iCs/>
        </w:rPr>
        <w:t>Ltk</w:t>
      </w:r>
      <w:proofErr w:type="spellEnd"/>
      <w:r w:rsidRPr="001E7605">
        <w:rPr>
          <w:vertAlign w:val="superscript"/>
        </w:rPr>
        <w:t>-</w:t>
      </w:r>
      <w:r w:rsidRPr="001E7605">
        <w:t xml:space="preserve"> and COS7 were carried out using Lipofectamine 2000</w:t>
      </w:r>
      <w:r w:rsidRPr="001E7605">
        <w:rPr>
          <w:bCs/>
        </w:rPr>
        <w:sym w:font="Symbol" w:char="F0E2"/>
      </w:r>
      <w:r w:rsidRPr="001E7605">
        <w:t xml:space="preserve"> (11668027, Invitrogen</w:t>
      </w:r>
      <w:r w:rsidR="00141395" w:rsidRPr="001E7605">
        <w:t>)</w:t>
      </w:r>
      <w:r w:rsidRPr="001E7605">
        <w:t xml:space="preserve">. </w:t>
      </w:r>
      <w:r w:rsidRPr="001E7605">
        <w:rPr>
          <w:bCs/>
        </w:rPr>
        <w:t xml:space="preserve">CHO-K1 cells were transfected with </w:t>
      </w:r>
      <w:proofErr w:type="spellStart"/>
      <w:r w:rsidRPr="001E7605">
        <w:rPr>
          <w:bCs/>
        </w:rPr>
        <w:t>Fugene</w:t>
      </w:r>
      <w:proofErr w:type="spellEnd"/>
      <w:r w:rsidR="00A33781" w:rsidRPr="001E7605">
        <w:rPr>
          <w:bCs/>
        </w:rPr>
        <w:sym w:font="Symbol" w:char="F0E2"/>
      </w:r>
      <w:r w:rsidRPr="001E7605">
        <w:rPr>
          <w:bCs/>
        </w:rPr>
        <w:t xml:space="preserve"> 6 (E2691, Promega).</w:t>
      </w:r>
      <w:r w:rsidRPr="001E7605">
        <w:t xml:space="preserve"> The transfections were carried out following manufacturer’s instructions and the cDNA amount and transfection conditions are specified in each technique</w:t>
      </w:r>
      <w:r w:rsidR="003203B2" w:rsidRPr="001E7605">
        <w:t xml:space="preserve"> (see below)</w:t>
      </w:r>
      <w:r w:rsidRPr="001E7605">
        <w:t>.</w:t>
      </w:r>
    </w:p>
    <w:p w14:paraId="5704981C" w14:textId="77777777" w:rsidR="00C84E1D" w:rsidRPr="001E7605" w:rsidRDefault="00C84E1D">
      <w:pPr>
        <w:pStyle w:val="TextoTesis"/>
      </w:pPr>
    </w:p>
    <w:p w14:paraId="21AC8817" w14:textId="3D7D7DC2" w:rsidR="000B48C9" w:rsidRPr="001E7605" w:rsidRDefault="000B48C9" w:rsidP="00FF720A">
      <w:pPr>
        <w:pStyle w:val="Ttulo3Tesis"/>
      </w:pPr>
      <w:bookmarkStart w:id="2" w:name="_Toc145663632"/>
      <w:r w:rsidRPr="001E7605">
        <w:t>Mice</w:t>
      </w:r>
      <w:bookmarkEnd w:id="2"/>
    </w:p>
    <w:p w14:paraId="4203A709" w14:textId="43B92645" w:rsidR="003203B2" w:rsidRPr="001E7605" w:rsidRDefault="000B48C9">
      <w:pPr>
        <w:pStyle w:val="TextoTesis"/>
        <w:rPr>
          <w:lang w:val="en-US"/>
        </w:rPr>
      </w:pPr>
      <w:r w:rsidRPr="001E7605">
        <w:t>5-6-weeks-old C57BL/6J mice were obtained from the Charles River Laboratories. Mice were reared and housed in accordance with institutional guidelines and regulations. The mice had free access to food and water.</w:t>
      </w:r>
      <w:r w:rsidR="00F24D00" w:rsidRPr="001E7605">
        <w:t xml:space="preserve"> </w:t>
      </w:r>
      <w:r w:rsidR="00F24D00" w:rsidRPr="001E7605">
        <w:rPr>
          <w:lang w:val="en-US"/>
        </w:rPr>
        <w:t xml:space="preserve">Animal protocols were carried out in accordance with the Centro Nacional de </w:t>
      </w:r>
      <w:proofErr w:type="spellStart"/>
      <w:r w:rsidR="00F24D00" w:rsidRPr="001E7605">
        <w:rPr>
          <w:lang w:val="en-US"/>
        </w:rPr>
        <w:t>Investigaciones</w:t>
      </w:r>
      <w:proofErr w:type="spellEnd"/>
      <w:r w:rsidR="00F24D00" w:rsidRPr="001E7605">
        <w:rPr>
          <w:lang w:val="en-US"/>
        </w:rPr>
        <w:t xml:space="preserve"> </w:t>
      </w:r>
      <w:proofErr w:type="spellStart"/>
      <w:r w:rsidR="00F24D00" w:rsidRPr="001E7605">
        <w:rPr>
          <w:lang w:val="en-US"/>
        </w:rPr>
        <w:t>Cardiovasculares</w:t>
      </w:r>
      <w:proofErr w:type="spellEnd"/>
      <w:r w:rsidR="00F24D00" w:rsidRPr="001E7605">
        <w:rPr>
          <w:lang w:val="en-US"/>
        </w:rPr>
        <w:t xml:space="preserve"> (CNIC) Institutional Ethics Committee recommendations and were approved by the Animal Experimentation Committee (Scientific Procedures) of Comunidad de Madrid (PROEX 111.4/20 and PROEX 226.5/23).</w:t>
      </w:r>
    </w:p>
    <w:p w14:paraId="3EE14198" w14:textId="77777777" w:rsidR="00C84E1D" w:rsidRPr="001E7605" w:rsidRDefault="00C84E1D">
      <w:pPr>
        <w:pStyle w:val="TextoTesis"/>
      </w:pPr>
    </w:p>
    <w:p w14:paraId="1FCB6604" w14:textId="180FADBB" w:rsidR="000B48C9" w:rsidRPr="001E7605" w:rsidRDefault="000B48C9" w:rsidP="00FF720A">
      <w:pPr>
        <w:pStyle w:val="Ttulo3Tesis"/>
      </w:pPr>
      <w:bookmarkStart w:id="3" w:name="_Toc145663633"/>
      <w:r w:rsidRPr="001E7605">
        <w:t>Human samples</w:t>
      </w:r>
      <w:bookmarkEnd w:id="3"/>
    </w:p>
    <w:p w14:paraId="2129D2CF" w14:textId="77777777" w:rsidR="002D570C" w:rsidRPr="001E7605" w:rsidRDefault="002D570C">
      <w:pPr>
        <w:pStyle w:val="TextoTesis"/>
        <w:rPr>
          <w:color w:val="000000" w:themeColor="text1"/>
        </w:rPr>
      </w:pPr>
      <w:r w:rsidRPr="00A945AB">
        <w:rPr>
          <w:color w:val="000000" w:themeColor="text1"/>
        </w:rPr>
        <w:t>The investigation conforms to the World Medical Association Declaration of Helsinki principles of medical research involving human subjects</w:t>
      </w:r>
      <w:r w:rsidRPr="001E7605">
        <w:rPr>
          <w:color w:val="000000" w:themeColor="text1"/>
        </w:rPr>
        <w:t>.</w:t>
      </w:r>
    </w:p>
    <w:p w14:paraId="591574B4" w14:textId="33320656" w:rsidR="000B48C9" w:rsidRPr="001E7605" w:rsidRDefault="000B48C9">
      <w:pPr>
        <w:pStyle w:val="TextoTesis"/>
      </w:pPr>
      <w:r w:rsidRPr="001E7605">
        <w:t>Cardiac samples of individuals without cardiovascular histories were obtained from autopsy procedures at Hospital Universitario la Paz (Madrid). Fully written informed consents were obtained from the families of the donors. The</w:t>
      </w:r>
      <w:r w:rsidR="003203B2" w:rsidRPr="001E7605">
        <w:t xml:space="preserve"> </w:t>
      </w:r>
      <w:r w:rsidRPr="001E7605">
        <w:t xml:space="preserve">paraffin-embedded tissue sections were </w:t>
      </w:r>
      <w:r w:rsidR="003203B2" w:rsidRPr="001E7605">
        <w:t>kindly</w:t>
      </w:r>
      <w:r w:rsidRPr="001E7605">
        <w:t xml:space="preserve"> provided by Dr. J. </w:t>
      </w:r>
      <w:proofErr w:type="spellStart"/>
      <w:r w:rsidRPr="001E7605">
        <w:t>Regadera</w:t>
      </w:r>
      <w:proofErr w:type="spellEnd"/>
      <w:r w:rsidRPr="001E7605">
        <w:t xml:space="preserve"> (Universidad </w:t>
      </w:r>
      <w:proofErr w:type="spellStart"/>
      <w:r w:rsidRPr="001E7605">
        <w:t>Autónoma</w:t>
      </w:r>
      <w:proofErr w:type="spellEnd"/>
      <w:r w:rsidRPr="001E7605">
        <w:t xml:space="preserve"> de Madrid)</w:t>
      </w:r>
      <w:r w:rsidR="00FA018C" w:rsidRPr="001E7605">
        <w:t xml:space="preserve">. </w:t>
      </w:r>
      <w:r w:rsidRPr="001E7605">
        <w:t xml:space="preserve">The study was approved by the respective institutional review boards and ethic committees. </w:t>
      </w:r>
    </w:p>
    <w:p w14:paraId="272B01A6" w14:textId="46939040" w:rsidR="000B48C9" w:rsidRPr="001E7605" w:rsidRDefault="000B48C9">
      <w:pPr>
        <w:pStyle w:val="TextoTesis"/>
      </w:pPr>
      <w:r w:rsidRPr="001E7605">
        <w:t xml:space="preserve">Human right atrial appendage </w:t>
      </w:r>
      <w:r w:rsidR="00AC1887" w:rsidRPr="001E7605">
        <w:t xml:space="preserve">cardiac </w:t>
      </w:r>
      <w:r w:rsidRPr="001E7605">
        <w:t>samples were provided by the Cardiac Surgery Service of University Hospital La Paz-</w:t>
      </w:r>
      <w:proofErr w:type="spellStart"/>
      <w:r w:rsidRPr="001E7605">
        <w:t>IdiPAZ</w:t>
      </w:r>
      <w:proofErr w:type="spellEnd"/>
      <w:r w:rsidRPr="001E7605">
        <w:t xml:space="preserve"> and University Hospital Puerta de Hierro. We obtained </w:t>
      </w:r>
      <w:r w:rsidR="00A774F7" w:rsidRPr="001E7605">
        <w:t xml:space="preserve">these </w:t>
      </w:r>
      <w:r w:rsidRPr="001E7605">
        <w:t xml:space="preserve">samples from patients under sinus rhythm (SR) and from patients with atrial fibrillation (AF). </w:t>
      </w:r>
      <w:bookmarkStart w:id="4" w:name="_Hlk216187797"/>
      <w:r w:rsidRPr="001E7605">
        <w:t xml:space="preserve">All samples involved in this study were obtained with the </w:t>
      </w:r>
      <w:r w:rsidR="00AC1887" w:rsidRPr="001E7605">
        <w:t xml:space="preserve">appropriate </w:t>
      </w:r>
      <w:r w:rsidRPr="001E7605">
        <w:t xml:space="preserve">informed consent </w:t>
      </w:r>
      <w:bookmarkEnd w:id="4"/>
      <w:r w:rsidRPr="001E7605">
        <w:t>and their use was approved by the Ethics Committee of the University Hospital La Paz (PI-2550), the Ethics Committee of the University Hospital Puerta de Hierro (PI-158-22) and the Ethics Committee in Human and Animal experimentation CEEHA and the Biosecurity committee of the CSIC (PI-</w:t>
      </w:r>
      <w:r w:rsidRPr="001E7605">
        <w:lastRenderedPageBreak/>
        <w:t xml:space="preserve">2550 and 046/2023). In addition, all procedures were done accordingly with the 1527/2010 (November 15th, 2010) and the 1716/2011 (November 18th, 2011) Royal Decrees, as well as the 9/2014 (July 4th, 2014) Royal Decree-Law. These cardiac samples were used for mRNA and protein quantification, as well as for immunofluorescence and confocal imaging. </w:t>
      </w:r>
    </w:p>
    <w:p w14:paraId="1D634190" w14:textId="77777777" w:rsidR="00AC1887" w:rsidRPr="001E7605" w:rsidRDefault="00AC1887">
      <w:pPr>
        <w:pStyle w:val="TextoTesis"/>
      </w:pPr>
    </w:p>
    <w:p w14:paraId="14EE1EE3" w14:textId="531CF4D7" w:rsidR="000B48C9" w:rsidRPr="001E7605" w:rsidRDefault="000B48C9" w:rsidP="00FF720A">
      <w:pPr>
        <w:pStyle w:val="Ttulo3Tesis"/>
      </w:pPr>
      <w:bookmarkStart w:id="5" w:name="_Toc145663636"/>
      <w:r w:rsidRPr="001E7605">
        <w:t>Adeno-associated virus (AAV) vector production and purification</w:t>
      </w:r>
      <w:bookmarkEnd w:id="5"/>
    </w:p>
    <w:p w14:paraId="0E23A9A2" w14:textId="4B84E16E" w:rsidR="000B48C9" w:rsidRPr="001E7605" w:rsidRDefault="000B48C9">
      <w:pPr>
        <w:pStyle w:val="TextoTesis"/>
      </w:pPr>
      <w:r w:rsidRPr="001E7605">
        <w:t xml:space="preserve">The corresponding plasmids were packed in AAV9 </w:t>
      </w:r>
      <w:proofErr w:type="spellStart"/>
      <w:r w:rsidR="003003AB" w:rsidRPr="001E7605">
        <w:t>capsides</w:t>
      </w:r>
      <w:proofErr w:type="spellEnd"/>
      <w:r w:rsidR="003003AB" w:rsidRPr="001E7605">
        <w:t xml:space="preserve"> </w:t>
      </w:r>
      <w:r w:rsidRPr="001E7605">
        <w:t xml:space="preserve">given its proved efficacy for the release of genes in mice cardiomyocytes </w:t>
      </w:r>
      <w:r w:rsidRPr="001E7605">
        <w:fldChar w:fldCharType="begin"/>
      </w:r>
      <w:r w:rsidR="00A974DD" w:rsidRPr="001E7605">
        <w:instrText xml:space="preserve"> ADDIN ZOTERO_ITEM CSL_CITATION {"citationID":"nBkiBFkd","properties":{"formattedCitation":"\\super 8\\uc0\\u8211{}10\\nosupersub{}","plainCitation":"8–10","noteIndex":0},"citationItems":[{"id":256,"uris":["http://zotero.org/users/10967336/items/8PZ4VBF6"],"itemData":{"id":256,"type":"article-journal","container-title":"Gene Therapy","DOI":"10.1038/gt.2010.105","ISSN":"0969-7128, 1476-5462","issue":"1","journalAbbreviation":"Gene Ther","language":"en","page":"43-52","source":"DOI.org (Crossref)","title":"Robust cardiomyocyte-specific gene expression following systemic injection of AAV: in vivo gene delivery follows a Poisson distribution","title-short":"Robust cardiomyocyte-specific gene expression following systemic injection of AAV","volume":"18","author":[{"family":"Prasad","given":"K-M R"},{"family":"Xu","given":"Y"},{"family":"Yang","given":"Z"},{"family":"Acton","given":"S T"},{"family":"French","given":"B A"}],"issued":{"date-parts":[["2011",1]]}}},{"id":255,"uris":["http://zotero.org/users/10967336/items/LDLH9G7Q",["http://zotero.org/users/10967336/items/LDLH9G7Q"],["http://zotero.org/users/10967336/items/LDLH9G7Q",["http://zotero.org/users/10967336/items/LDLH9G7Q"]]],"itemData":{"id":255,"type":"article-journal","abstract":"Background:\n              \n                Catecholaminergic polymorphic ventricular tachycardia (CPVT), an inherited cardiac arrhythmia characterized by adrenergically triggered arrhythmias, is inadequately treated by current standard of care. Ca\n                2+\n                /calmodulin-dependent protein kinase II (CaMKII), an adrenergically activated kinase that contributes to arrhythmogenesis in heart disease models, is a candidate therapeutic target in CPVT. However, translation of CaMKII inhibition has been limited by the need for selective CaMKII inhibition in cardiomyocytes. Here, we tested the hypothesis that CaMKII inhibition with a cardiomyocyte-targeted gene therapy strategy would suppress arrhythmia in CPVT mouse models.\n              \n            \n            \n              Methods:\n              We developed AAV9-GFP-AIP, an adeno-associated viral vector in which a potent CaMKII inhibitory peptide, autocamtide-2–related inhibitory peptide [AIP], is fused to green fluorescent protein (GFP) and expressed from a cardiomyocyte selective promoter. The vector was delivered systemically. Arrhythmia burden was evaluated with invasive electrophysiology testing in adult mice. AIP was also tested on induced pluripotent stem cells derived from patients with CPVT with different disease-causing mutations to determine the effectiveness of our proposed therapy on human induced pluripotent stem cell–derived cardiomyocytes and different pathogenic genotypes.\n            \n            \n              Results:\n              \n                AAV9-GFP-AIP was robustly expressed in the heart without significant expression in extracardiac tissues, including the brain. Administration of AAV9-GFP-AIP to neonatal mice with a known CPVT mutation (\n                RYR2\n                \n                  R176Q\n                  /+\n                \n                ) effectively suppressed ventricular arrhythmias induced by either β-adrenergic stimulation or programmed ventricular pacing, without significant proarrhythmic effect. Intravascular delivery of AAV9-GFP-AIP to adolescent mice transduced ≈50% of cardiomyocytes and was effective in suppressing arrhythmia in CPVT mice. Induced pluripotent stem cell–derived cardiomyocytes derived from 2 different patients with CPVT with different pathogenic mutations demonstrated increased frequency of abnormal calcium release events, which was suppressed by a cell-permeable form of AIP.\n              \n            \n            \n              Conclusions:\n              This proof-of-concept study showed that AAV-mediated delivery of a CaMKII peptide inhibitor to the heart was effective in suppressing arrhythmias in a murine model of CPVT. CaMKII inhibition also reversed the arrhythmia phenotype in human CPVT induced pluripotent stem cell–derived cardiomyocyte models with different pathogenic mutations.","container-title":"Circulation","DOI":"10.1161/CIRCULATIONAHA.118.038514","ISSN":"0009-7322, 1524-4539","issue":"5","journalAbbreviation":"Circulation","language":"en","page":"405-419","source":"DOI.org (Crossref)","title":"Gene Therapy for Catecholaminergic Polymorphic Ventricular Tachycardia by Inhibition of Ca &lt;sup&gt;2+&lt;/sup&gt; /Calmodulin-Dependent Kinase II","volume":"140","author":[{"family":"Bezzerides","given":"Vassilios J."},{"family":"Caballero","given":"Ana"},{"family":"Wang","given":"Suya"},{"family":"Ai","given":"Yulan"},{"family":"Hylind","given":"Robyn J."},{"family":"Lu","given":"Fujian"},{"family":"Heims-Waldron","given":"Danielle A."},{"family":"Chambers","given":"Kristina D."},{"family":"Zhang","given":"Donghui"},{"family":"Abrams","given":"Dominic J."},{"family":"Pu","given":"William T."}],"issued":{"date-parts":[["2019",7,30]]}}},{"id":254,"uris":["http://zotero.org/users/10967336/items/PPDK6HID"],"itemData":{"id":254,"type":"article-journal","container-title":"Journal of the American College of Cardiology","DOI":"10.1016/j.jacc.2015.01.045","ISSN":"07351097","issue":"14","journalAbbreviation":"Journal of the American College of Cardiology","language":"en","page":"1438-1450","source":"DOI.org (Crossref)","title":"Exercise Triggers ARVC Phenotype in Mice Expressing a Disease-Causing Mutated Version of Human Plakophilin-2","volume":"65","author":[{"family":"Cruz","given":"Francisco M."},{"family":"Sanz-Rosa","given":"David"},{"family":"Roche-Molina","given":"Marta"},{"family":"García-Prieto","given":"Jaime"},{"family":"García-Ruiz","given":"José M."},{"family":"Pizarro","given":"Gonzalo"},{"family":"Jiménez-Borreguero","given":"Luis J."},{"family":"Torres","given":"Miguel"},{"family":"Bernad","given":"Antonio"},{"family":"Ruíz-Cabello","given":"Jesús"},{"family":"Fuster","given":"Valentín"},{"family":"Ibáñez","given":"Borja"},{"family":"Bernal","given":"Juan A."}],"issued":{"date-parts":[["2015",4]]}}}],"schema":"https://github.com/citation-style-language/schema/raw/master/csl-citation.json"} </w:instrText>
      </w:r>
      <w:r w:rsidRPr="001E7605">
        <w:fldChar w:fldCharType="separate"/>
      </w:r>
      <w:r w:rsidR="00A974DD" w:rsidRPr="001E7605">
        <w:rPr>
          <w:rFonts w:cs="Times New Roman"/>
          <w:szCs w:val="24"/>
          <w:vertAlign w:val="superscript"/>
        </w:rPr>
        <w:t>8–10</w:t>
      </w:r>
      <w:r w:rsidRPr="001E7605">
        <w:fldChar w:fldCharType="end"/>
      </w:r>
      <w:r w:rsidRPr="001E7605">
        <w:t xml:space="preserve">. AAV vectors were produced by the triple transfection method, using HEK293T cells by the </w:t>
      </w:r>
      <w:r w:rsidR="003003AB" w:rsidRPr="001E7605">
        <w:t>CNIC’s Viral Vectors Unit</w:t>
      </w:r>
      <w:r w:rsidRPr="001E7605">
        <w:t xml:space="preserve"> as described previously </w:t>
      </w:r>
      <w:r w:rsidRPr="001E7605">
        <w:fldChar w:fldCharType="begin"/>
      </w:r>
      <w:r w:rsidR="00A974DD" w:rsidRPr="001E7605">
        <w:instrText xml:space="preserve"> ADDIN ZOTERO_ITEM CSL_CITATION {"citationID":"1Vu0pkyq","properties":{"formattedCitation":"\\super 10,11\\nosupersub{}","plainCitation":"10,11","noteIndex":0},"citationItems":[{"id":254,"uris":["http://zotero.org/users/10967336/items/PPDK6HID"],"itemData":{"id":254,"type":"article-journal","container-title":"Journal of the American College of Cardiology","DOI":"10.1016/j.jacc.2015.01.045","ISSN":"07351097","issue":"14","journalAbbreviation":"Journal of the American College of Cardiology","language":"en","page":"1438-1450","source":"DOI.org (Crossref)","title":"Exercise Triggers ARVC Phenotype in Mice Expressing a Disease-Causing Mutated Version of Human Plakophilin-2","volume":"65","author":[{"family":"Cruz","given":"Francisco M."},{"family":"Sanz-Rosa","given":"David"},{"family":"Roche-Molina","given":"Marta"},{"family":"García-Prieto","given":"Jaime"},{"family":"García-Ruiz","given":"José M."},{"family":"Pizarro","given":"Gonzalo"},{"family":"Jiménez-Borreguero","given":"Luis J."},{"family":"Torres","given":"Miguel"},{"family":"Bernad","given":"Antonio"},{"family":"Ruíz-Cabello","given":"Jesús"},{"family":"Fuster","given":"Valentín"},{"family":"Ibáñez","given":"Borja"},{"family":"Bernal","given":"Juan A."}],"issued":{"date-parts":[["2015",4]]}}},{"id":246,"uris":["http://zotero.org/users/10967336/items/T6CBJ953",["http://zotero.org/users/10967336/items/T6CBJ953"]],"itemData":{"id":246,"type":"article-journal","abstract":"ABSTRACT\n            \n              Recently, efficient and long-term in vivo gene transfer by recombinant adeno-associated virus type 2 (rAAV) vectors has been demonstrated in a variety of tissues. Further improvement in vector titer and purity will expedite this in vivo exploration and provide preclinical information required for use in human gene therapy. In an effort to obtain higher titers, we constructed a novel AAV helper plasmid which utilizes translational control of AAV Rep genes (J. Li et al., J. Virol. 71:5236–5243, 1997). To address the issue of purity, in this study we report the first rAAV production method which is completely free of adenovirus (Ad) helper virus. The new production system uses a plasmid construct which contains a mini-Ad genome capable of propagating rAAV in the presence of AAV Rep and Cap genes. This construct is missing some of the early and most of the late Ad genes and is incapable of producing infectious Ad. Transfection of 293 cells with the new mini-Ad helper and AAV packaging plasmids results in high-titer rAAV vectors with yields greater than 1,000 transducing units, or 10\n              5\n              viral particles per cell. When rAAV vectors were produced by using this production scheme and compared to traditional heat-inactivated rAAV preparations in vitro and in vivo, we observed transduction equivalent to or better than normal levels. The complete removal of infectious Ad from AAV production should facilitate a better understanding of immune response to AAV vectors in vivo, eliminate the need for developing replication-competent Ad assays, and provide a more defined reagent for clinical use.","container-title":"Journal of Virology","DOI":"10.1128/JVI.72.3.2224-2232.1998","ISSN":"0022-538X, 1098-5514","issue":"3","journalAbbreviation":"J Virol","language":"en","page":"2224-2232","source":"DOI.org (Crossref)","title":"Production of High-Titer Recombinant Adeno-Associated Virus Vectors in the Absence of Helper Adenovirus","volume":"72","author":[{"family":"Xiao","given":"Xiao"},{"family":"Li","given":"Juan"},{"family":"Samulski","given":"Richard Jude"}],"issued":{"date-parts":[["1998",3]]}}}],"schema":"https://github.com/citation-style-language/schema/raw/master/csl-citation.json"} </w:instrText>
      </w:r>
      <w:r w:rsidRPr="001E7605">
        <w:fldChar w:fldCharType="separate"/>
      </w:r>
      <w:r w:rsidR="00A974DD" w:rsidRPr="001E7605">
        <w:rPr>
          <w:rFonts w:cs="Times New Roman"/>
          <w:szCs w:val="24"/>
          <w:vertAlign w:val="superscript"/>
        </w:rPr>
        <w:t>10,11</w:t>
      </w:r>
      <w:r w:rsidRPr="001E7605">
        <w:fldChar w:fldCharType="end"/>
      </w:r>
      <w:r w:rsidRPr="001E7605">
        <w:t xml:space="preserve">. AAV plasmids were cloned and propagated in the Stbl3 </w:t>
      </w:r>
      <w:r w:rsidRPr="001E7605">
        <w:rPr>
          <w:i/>
        </w:rPr>
        <w:t>Escherichia coli</w:t>
      </w:r>
      <w:r w:rsidRPr="001E7605">
        <w:t xml:space="preserve"> strain (Life Technologies). Shuttle plasmids </w:t>
      </w:r>
      <w:proofErr w:type="spellStart"/>
      <w:r w:rsidRPr="001E7605">
        <w:t>pAAV</w:t>
      </w:r>
      <w:proofErr w:type="spellEnd"/>
      <w:r w:rsidRPr="001E7605">
        <w:t>-Tomato and pAAV-</w:t>
      </w:r>
      <w:r w:rsidR="007A090A" w:rsidRPr="001E7605">
        <w:t>Lgi4-IRES-</w:t>
      </w:r>
      <w:r w:rsidRPr="001E7605">
        <w:t xml:space="preserve">Tomato were packaged into AAV-9 capsids with the use of helper plasmids pAdDF6 (providing the three adenoviral helper genes) and pAAV2/9 (providing rep and cap viral genes), obtained from </w:t>
      </w:r>
      <w:proofErr w:type="spellStart"/>
      <w:r w:rsidRPr="001E7605">
        <w:t>PennVector</w:t>
      </w:r>
      <w:proofErr w:type="spellEnd"/>
      <w:r w:rsidRPr="001E7605">
        <w:t>.</w:t>
      </w:r>
    </w:p>
    <w:p w14:paraId="3157E6D0" w14:textId="5B06ECEA" w:rsidR="003003AB" w:rsidRPr="001E7605" w:rsidRDefault="000B48C9">
      <w:pPr>
        <w:pStyle w:val="TextoTesis"/>
      </w:pPr>
      <w:r w:rsidRPr="001E7605">
        <w:t>The AAV shuttle and helper plasmids were transfected into HEK293T cells by calcium-phosphate co-precipitation. A total of 840</w:t>
      </w:r>
      <w:r w:rsidRPr="001E7605">
        <w:rPr>
          <w:rFonts w:ascii="Times New Roman" w:hAnsi="Times New Roman" w:cs="Times New Roman"/>
        </w:rPr>
        <w:t> </w:t>
      </w:r>
      <w:r w:rsidRPr="001E7605">
        <w:rPr>
          <w:rFonts w:cs="Garamond"/>
        </w:rPr>
        <w:t>µ</w:t>
      </w:r>
      <w:r w:rsidRPr="001E7605">
        <w:t xml:space="preserve">g of plasmid DNA (mixed in an equimolar ratio) was used per </w:t>
      </w:r>
      <w:proofErr w:type="spellStart"/>
      <w:r w:rsidRPr="001E7605">
        <w:t>HYPERFlask</w:t>
      </w:r>
      <w:proofErr w:type="spellEnd"/>
      <w:r w:rsidRPr="001E7605">
        <w:t xml:space="preserve"> (Corning) seeded with 1.2</w:t>
      </w:r>
      <w:r w:rsidRPr="001E7605">
        <w:rPr>
          <w:rFonts w:ascii="Times New Roman" w:hAnsi="Times New Roman" w:cs="Times New Roman"/>
        </w:rPr>
        <w:t> </w:t>
      </w:r>
      <w:r w:rsidRPr="001E7605">
        <w:rPr>
          <w:rFonts w:cs="Garamond"/>
        </w:rPr>
        <w:t>×</w:t>
      </w:r>
      <w:r w:rsidRPr="001E7605">
        <w:rPr>
          <w:rFonts w:ascii="Times New Roman" w:hAnsi="Times New Roman" w:cs="Times New Roman"/>
        </w:rPr>
        <w:t> </w:t>
      </w:r>
      <w:r w:rsidRPr="001E7605">
        <w:t>10</w:t>
      </w:r>
      <w:r w:rsidRPr="001E7605">
        <w:rPr>
          <w:vertAlign w:val="superscript"/>
        </w:rPr>
        <w:t xml:space="preserve">8 </w:t>
      </w:r>
      <w:r w:rsidRPr="001E7605">
        <w:t>cells the day before. Seventy-two hours after transfection, the cells were collected by centrifugation, and the cell pellet was resuspended in TMS (50</w:t>
      </w:r>
      <w:r w:rsidRPr="001E7605">
        <w:rPr>
          <w:rFonts w:ascii="Times New Roman" w:hAnsi="Times New Roman" w:cs="Times New Roman"/>
        </w:rPr>
        <w:t> </w:t>
      </w:r>
      <w:r w:rsidRPr="001E7605">
        <w:t>mM Tris HCl, 150</w:t>
      </w:r>
      <w:r w:rsidRPr="001E7605">
        <w:rPr>
          <w:rFonts w:ascii="Times New Roman" w:hAnsi="Times New Roman" w:cs="Times New Roman"/>
        </w:rPr>
        <w:t> </w:t>
      </w:r>
      <w:r w:rsidRPr="001E7605">
        <w:t>mM NaCl and 2</w:t>
      </w:r>
      <w:r w:rsidRPr="001E7605">
        <w:rPr>
          <w:rFonts w:ascii="Times New Roman" w:hAnsi="Times New Roman" w:cs="Times New Roman"/>
        </w:rPr>
        <w:t> </w:t>
      </w:r>
      <w:r w:rsidRPr="001E7605">
        <w:t>mM MgCl</w:t>
      </w:r>
      <w:r w:rsidRPr="001E7605">
        <w:rPr>
          <w:vertAlign w:val="subscript"/>
        </w:rPr>
        <w:t>2</w:t>
      </w:r>
      <w:r w:rsidRPr="001E7605">
        <w:t xml:space="preserve">) on ice before digestion with DNase I and </w:t>
      </w:r>
      <w:proofErr w:type="spellStart"/>
      <w:r w:rsidRPr="001E7605">
        <w:t>RNaseA</w:t>
      </w:r>
      <w:proofErr w:type="spellEnd"/>
      <w:r w:rsidRPr="001E7605">
        <w:t xml:space="preserve"> (0.1</w:t>
      </w:r>
      <w:r w:rsidRPr="001E7605">
        <w:rPr>
          <w:rFonts w:ascii="Times New Roman" w:hAnsi="Times New Roman" w:cs="Times New Roman"/>
        </w:rPr>
        <w:t> </w:t>
      </w:r>
      <w:r w:rsidRPr="001E7605">
        <w:t>mg</w:t>
      </w:r>
      <w:r w:rsidRPr="001E7605">
        <w:rPr>
          <w:rFonts w:ascii="Times New Roman" w:hAnsi="Times New Roman" w:cs="Times New Roman"/>
        </w:rPr>
        <w:t>/</w:t>
      </w:r>
      <w:r w:rsidRPr="001E7605">
        <w:t>ml each; Roche) at 37</w:t>
      </w:r>
      <w:r w:rsidRPr="001E7605">
        <w:rPr>
          <w:rFonts w:ascii="Times New Roman" w:hAnsi="Times New Roman" w:cs="Times New Roman"/>
        </w:rPr>
        <w:t> </w:t>
      </w:r>
      <w:r w:rsidRPr="001E7605">
        <w:rPr>
          <w:rFonts w:cs="Garamond"/>
        </w:rPr>
        <w:t>°</w:t>
      </w:r>
      <w:r w:rsidRPr="001E7605">
        <w:t>C for 60</w:t>
      </w:r>
      <w:r w:rsidRPr="001E7605">
        <w:rPr>
          <w:rFonts w:ascii="Times New Roman" w:hAnsi="Times New Roman" w:cs="Times New Roman"/>
        </w:rPr>
        <w:t> </w:t>
      </w:r>
      <w:r w:rsidRPr="001E7605">
        <w:t xml:space="preserve">minutes. Clarified supernatant containing the viral particles was obtained by iodixanol gradient centrifugation </w:t>
      </w:r>
      <w:r w:rsidRPr="001E7605">
        <w:fldChar w:fldCharType="begin"/>
      </w:r>
      <w:r w:rsidR="00A974DD" w:rsidRPr="001E7605">
        <w:instrText xml:space="preserve"> ADDIN ZOTERO_ITEM CSL_CITATION {"citationID":"9Yom7czm","properties":{"formattedCitation":"\\super 12\\nosupersub{}","plainCitation":"12","noteIndex":0},"citationItems":[{"id":124,"uris":["http://zotero.org/users/10967336/items/UXZBKTE3",["http://zotero.org/users/10967336/items/UXZBKTE3"]],"itemData":{"id":124,"type":"chapter","container-title":"Methods in Enzymology","ISBN":"978-0-12-182217-0","language":"en","note":"DOI: 10.1016/S0076-6879(00)16760-6","page":"743-761","publisher":"Elsevier","source":"DOI.org (Crossref)","title":"[48] Production and purification of recombinant adeno-associated virus","URL":"https://linkinghub.elsevier.com/retrieve/pii/S0076687900167606","volume":"316","author":[{"family":"Hauswirth","given":"William W."},{"family":"Lewin","given":"Alfred S."},{"family":"Zolotukhin","given":"Sergei"},{"family":"Muzyczka","given":"Nicholas"}],"accessed":{"date-parts":[["2023",4,4]]},"issued":{"date-parts":[["2000"]]}}}],"schema":"https://github.com/citation-style-language/schema/raw/master/csl-citation.json"} </w:instrText>
      </w:r>
      <w:r w:rsidRPr="001E7605">
        <w:fldChar w:fldCharType="separate"/>
      </w:r>
      <w:r w:rsidR="00A974DD" w:rsidRPr="001E7605">
        <w:rPr>
          <w:rFonts w:cs="Times New Roman"/>
          <w:szCs w:val="24"/>
          <w:vertAlign w:val="superscript"/>
        </w:rPr>
        <w:t>12</w:t>
      </w:r>
      <w:r w:rsidRPr="001E7605">
        <w:fldChar w:fldCharType="end"/>
      </w:r>
      <w:r w:rsidRPr="001E7605">
        <w:t xml:space="preserve">. Gradient fractions containing virus were concentrated using </w:t>
      </w:r>
      <w:proofErr w:type="spellStart"/>
      <w:r w:rsidRPr="001E7605">
        <w:t>Amicon</w:t>
      </w:r>
      <w:proofErr w:type="spellEnd"/>
      <w:r w:rsidRPr="001E7605">
        <w:t xml:space="preserve"> </w:t>
      </w:r>
      <w:proofErr w:type="spellStart"/>
      <w:r w:rsidRPr="001E7605">
        <w:t>UltraCel</w:t>
      </w:r>
      <w:proofErr w:type="spellEnd"/>
      <w:r w:rsidRPr="001E7605">
        <w:t xml:space="preserve"> columns (Millipore) and stored at </w:t>
      </w:r>
      <w:r w:rsidRPr="001E7605">
        <w:rPr>
          <w:rFonts w:cs="Garamond"/>
        </w:rPr>
        <w:t>−</w:t>
      </w:r>
      <w:r w:rsidRPr="001E7605">
        <w:t>70</w:t>
      </w:r>
      <w:r w:rsidRPr="001E7605">
        <w:rPr>
          <w:rFonts w:ascii="Times New Roman" w:hAnsi="Times New Roman" w:cs="Times New Roman"/>
        </w:rPr>
        <w:t> </w:t>
      </w:r>
      <w:r w:rsidRPr="001E7605">
        <w:rPr>
          <w:rFonts w:cs="Garamond"/>
        </w:rPr>
        <w:t>°</w:t>
      </w:r>
      <w:r w:rsidRPr="001E7605">
        <w:t xml:space="preserve">C. AAV vector titter, as viral genome per ml (vg/ml), was measured by quantitative real-time PCR as described </w:t>
      </w:r>
      <w:r w:rsidRPr="001E7605">
        <w:fldChar w:fldCharType="begin"/>
      </w:r>
      <w:r w:rsidR="00A974DD" w:rsidRPr="001E7605">
        <w:instrText xml:space="preserve"> ADDIN ZOTERO_ITEM CSL_CITATION {"citationID":"jYNjywVH","properties":{"formattedCitation":"\\super 13\\nosupersub{}","plainCitation":"13","noteIndex":0},"citationItems":[{"id":245,"uris":["http://zotero.org/users/10967336/items/APREJQH4",["http://zotero.org/users/10967336/items/APREJQH4"]],"itemData":{"id":245,"type":"article-journal","container-title":"Molecular Therapy","DOI":"10.1038/sj.mt.6300071","ISSN":"15250016","issue":"4","journalAbbreviation":"Molecular Therapy","language":"en","page":"764-771","source":"DOI.org (Crossref)","title":"Topoisomerase Inhibition Accelerates Gene Expression after Adeno-associated Virus-mediated Gene Transfer to the Mammalian Heart","volume":"15","author":[{"family":"Prasad","given":"Konkal-Matt R"},{"family":"Xu","given":"Yaqin"},{"family":"Yang","given":"Zequan"},{"family":"Toufektsian","given":"Marie-Claire"},{"family":"Berr","given":"Stuart S"},{"family":"French","given":"Brent A"}],"issued":{"date-parts":[["2007",4]]}}}],"schema":"https://github.com/citation-style-language/schema/raw/master/csl-citation.json"} </w:instrText>
      </w:r>
      <w:r w:rsidRPr="001E7605">
        <w:fldChar w:fldCharType="separate"/>
      </w:r>
      <w:r w:rsidR="00A974DD" w:rsidRPr="001E7605">
        <w:rPr>
          <w:rFonts w:cs="Times New Roman"/>
          <w:szCs w:val="24"/>
          <w:vertAlign w:val="superscript"/>
        </w:rPr>
        <w:t>13</w:t>
      </w:r>
      <w:r w:rsidRPr="001E7605">
        <w:fldChar w:fldCharType="end"/>
      </w:r>
      <w:r w:rsidRPr="001E7605">
        <w:t>. Known copy numbers (10</w:t>
      </w:r>
      <w:r w:rsidRPr="001E7605">
        <w:rPr>
          <w:vertAlign w:val="superscript"/>
        </w:rPr>
        <w:t>5</w:t>
      </w:r>
      <w:r w:rsidRPr="001E7605">
        <w:t>–10</w:t>
      </w:r>
      <w:r w:rsidRPr="001E7605">
        <w:rPr>
          <w:vertAlign w:val="superscript"/>
        </w:rPr>
        <w:t>8</w:t>
      </w:r>
      <w:r w:rsidRPr="001E7605">
        <w:t>) of the respective plasmid (</w:t>
      </w:r>
      <w:proofErr w:type="spellStart"/>
      <w:r w:rsidRPr="001E7605">
        <w:t>pAAV</w:t>
      </w:r>
      <w:proofErr w:type="spellEnd"/>
      <w:r w:rsidRPr="001E7605">
        <w:t>-Tomato and pAAV-Lgi4) carrying the appropriate complementary DNA were used to construct standard curves.</w:t>
      </w:r>
    </w:p>
    <w:p w14:paraId="33BBA952" w14:textId="77777777" w:rsidR="00C84E1D" w:rsidRPr="001E7605" w:rsidRDefault="00C84E1D">
      <w:pPr>
        <w:pStyle w:val="TextoTesis"/>
      </w:pPr>
    </w:p>
    <w:p w14:paraId="7A1E0309" w14:textId="17A0DF44" w:rsidR="000B48C9" w:rsidRPr="001E7605" w:rsidRDefault="000B48C9" w:rsidP="00FF720A">
      <w:pPr>
        <w:pStyle w:val="Ttulo3Tesis"/>
      </w:pPr>
      <w:bookmarkStart w:id="6" w:name="_Toc145663637"/>
      <w:r w:rsidRPr="001E7605">
        <w:t>Mice infection</w:t>
      </w:r>
      <w:bookmarkEnd w:id="6"/>
    </w:p>
    <w:p w14:paraId="6C6778F0" w14:textId="2611B2A1" w:rsidR="000B48C9" w:rsidRPr="001E7605" w:rsidRDefault="000B48C9">
      <w:pPr>
        <w:pStyle w:val="TextoTesis"/>
      </w:pPr>
      <w:r w:rsidRPr="001E7605">
        <w:t xml:space="preserve">5-6-weeks-old mice were anesthetized by intraperitoneal injection of 100 </w:t>
      </w:r>
      <w:proofErr w:type="spellStart"/>
      <w:r w:rsidRPr="001E7605">
        <w:t>μl</w:t>
      </w:r>
      <w:proofErr w:type="spellEnd"/>
      <w:r w:rsidRPr="001E7605">
        <w:t xml:space="preserve"> ketamine (60 mg/kg), xylazine (20 mg/kg) and atropine (9 mg/kg). Once asleep, animals were placed on a heated pad at 37 ± 0.5 ºC to prevent hypothermia. A ~ 4-mm incision was made in the skin to expose the right femoral vein. To increase vessel diameter and facilitate infusion, blood flow was interrupted with a cotton bud for a couple of seconds. Thereafter, 3.5 × 10</w:t>
      </w:r>
      <w:r w:rsidRPr="001E7605">
        <w:rPr>
          <w:vertAlign w:val="superscript"/>
        </w:rPr>
        <w:t>10</w:t>
      </w:r>
      <w:r w:rsidRPr="001E7605">
        <w:t xml:space="preserve"> virus particles were inoculated through the femoral vein in a final volume of 50 </w:t>
      </w:r>
      <w:proofErr w:type="spellStart"/>
      <w:r w:rsidRPr="001E7605">
        <w:t>μl</w:t>
      </w:r>
      <w:proofErr w:type="spellEnd"/>
      <w:r w:rsidRPr="001E7605">
        <w:t xml:space="preserve">, taking care to prevent the introduction of air bubbles. </w:t>
      </w:r>
    </w:p>
    <w:p w14:paraId="58977504" w14:textId="55787F8E" w:rsidR="000B48C9" w:rsidRPr="001E7605" w:rsidRDefault="000409C0">
      <w:pPr>
        <w:pStyle w:val="TextoTesis"/>
      </w:pPr>
      <w:r w:rsidRPr="001E7605">
        <w:t>Based on</w:t>
      </w:r>
      <w:r w:rsidR="000B48C9" w:rsidRPr="001E7605">
        <w:t xml:space="preserve"> </w:t>
      </w:r>
      <w:r w:rsidR="00B47094" w:rsidRPr="001E7605">
        <w:t xml:space="preserve">previous work, </w:t>
      </w:r>
      <w:r w:rsidR="000B48C9" w:rsidRPr="001E7605">
        <w:t>8 weeks after infection the protein is stably and specifically expressed in the cardiomyocytes</w:t>
      </w:r>
      <w:r w:rsidR="00551D21" w:rsidRPr="001E7605">
        <w:t xml:space="preserve"> </w:t>
      </w:r>
      <w:r w:rsidR="00F35111" w:rsidRPr="001E7605">
        <w:t xml:space="preserve"> </w:t>
      </w:r>
      <w:r w:rsidR="00551D21" w:rsidRPr="001E7605">
        <w:fldChar w:fldCharType="begin"/>
      </w:r>
      <w:r w:rsidR="00C84E1D" w:rsidRPr="001E7605">
        <w:instrText xml:space="preserve"> ADDIN ZOTERO_ITEM CSL_CITATION {"citationID":"m90079UE","properties":{"formattedCitation":"\\super 7,10\\nosupersub{}","plainCitation":"7,10","noteIndex":0},"citationItems":[{"id":565,"uris":["http://zotero.org/users/10967336/items/TZRAKFCI"],"itemData":{"id":565,"type":"article-journal","abstract":"Abstract\n            \n              Andersen–Tawil syndrome type 1 (ATS1) is associated with life-threatening arrhythmias of unknown mechanism. In this study, we generated and characterized a mouse model of ATS1 carrying the trafficking-deficient mutant Kir2.1\n              Δ314-315\n              channel. The mutant mouse recapitulates the electrophysiological phenotype of ATS1, with QT prolongation exacerbated by flecainide or isoproterenol, drug-induced QRS prolongation, increased vulnerability to reentrant arrhythmias and multifocal discharges resembling catecholaminergic polymorphic ventricular tachycardia (CPVT). Kir2.1\n              Δ314-315\n              cardiomyocytes display significantly reduced inward rectifier K\n              +\n              and Na\n              +\n              currents, depolarized resting membrane potential and prolonged action potentials. We show that, in wild-type mouse cardiomyocytes and skeletal muscle cells, Kir2.1 channels localize to sarcoplasmic reticulum (SR) microdomains, contributing to intracellular Ca\n              2+\n              homeostasis. Kir2.1\n              Δ314-315\n              cardiomyocytes exhibit defective SR Kir2.1 localization and function, as intact and permeabilized Kir2.1\n              Δ314-315\n              cardiomyocytes display abnormal spontaneous Ca\n              2+\n              release events. Overall, defective Kir2.1 channel function at the sarcolemma and the SR explain the life-threatening arrhythmias in ATS1 and its overlap with CPVT.","container-title":"Nature Cardiovascular Research","DOI":"10.1038/s44161-022-00145-2","ISSN":"2731-0590","issue":"10","journalAbbreviation":"Nat Cardiovasc Res","language":"en","page":"900-917","source":"DOI.org (Crossref)","title":"Kir2.1 dysfunction at the sarcolemma and the sarcoplasmic reticulum causes arrhythmias in a mouse model of Andersen–Tawil syndrome type 1","volume":"1","author":[{"family":"Macías","given":"Álvaro"},{"family":"González-Guerra","given":"Andrés"},{"family":"Moreno-Manuel","given":"Ana I."},{"family":"Cruz","given":"Francisco M."},{"family":"Gutiérrez","given":"Lilian K."},{"family":"García-Quintáns","given":"Nieves"},{"family":"Roche-Molina","given":"Marta"},{"family":"Bermúdez-Jiménez","given":"Francisco"},{"family":"Andrés","given":"Vicente"},{"family":"Vera-Pedrosa","given":"María Linarejos"},{"family":"Martínez-Carrascoso","given":"Isabel"},{"family":"Bernal","given":"Juan A."},{"family":"Jalife","given":"José"}],"issued":{"date-parts":[["2022",10,17]]}}},{"id":254,"uris":["http://zotero.org/users/10967336/items/PPDK6HID"],"itemData":{"id":254,"type":"article-journal","container-title":"Journal of the American College of Cardiology","DOI":"10.1016/j.jacc.2015.01.045","ISSN":"07351097","issue":"14","journalAbbreviation":"Journal of the American College of Cardiology","language":"en","page":"1438-1450","source":"DOI.org (Crossref)","title":"Exercise Triggers ARVC Phenotype in Mice Expressing a Disease-Causing Mutated Version of Human Plakophilin-2","volume":"65","author":[{"family":"Cruz","given":"Francisco M."},{"family":"Sanz-Rosa","given":"David"},{"family":"Roche-Molina","given":"Marta"},{"family":"García-Prieto","given":"Jaime"},{"family":"García-Ruiz","given":"José M."},{"family":"Pizarro","given":"Gonzalo"},{"family":"Jiménez-Borreguero","given":"Luis J."},{"family":"Torres","given":"Miguel"},{"family":"Bernad","given":"Antonio"},{"family":"Ruíz-Cabello","given":"Jesús"},{"family":"Fuster","given":"Valentín"},{"family":"Ibáñez","given":"Borja"},{"family":"Bernal","given":"Juan A."}],"issued":{"date-parts":[["2015",4]]}}}],"schema":"https://github.com/citation-style-language/schema/raw/master/csl-citation.json"} </w:instrText>
      </w:r>
      <w:r w:rsidR="00551D21" w:rsidRPr="001E7605">
        <w:fldChar w:fldCharType="separate"/>
      </w:r>
      <w:r w:rsidR="00C84E1D" w:rsidRPr="001E7605">
        <w:rPr>
          <w:rFonts w:cs="Times New Roman"/>
          <w:szCs w:val="24"/>
          <w:vertAlign w:val="superscript"/>
        </w:rPr>
        <w:t>7,10</w:t>
      </w:r>
      <w:r w:rsidR="00551D21" w:rsidRPr="001E7605">
        <w:fldChar w:fldCharType="end"/>
      </w:r>
      <w:r w:rsidR="000B48C9" w:rsidRPr="001E7605">
        <w:t>.</w:t>
      </w:r>
    </w:p>
    <w:p w14:paraId="0AC24CBF" w14:textId="77777777" w:rsidR="00C84E1D" w:rsidRPr="001E7605" w:rsidRDefault="00C84E1D">
      <w:pPr>
        <w:pStyle w:val="TextoTesis"/>
      </w:pPr>
    </w:p>
    <w:p w14:paraId="187E3CC0" w14:textId="7EF6689B" w:rsidR="000B48C9" w:rsidRPr="001E7605" w:rsidRDefault="000B48C9" w:rsidP="00FF720A">
      <w:pPr>
        <w:pStyle w:val="Ttulo3Tesis"/>
      </w:pPr>
      <w:bookmarkStart w:id="7" w:name="_Toc145663638"/>
      <w:r w:rsidRPr="001E7605">
        <w:t>Surface electrocardiographic (ECG) recording</w:t>
      </w:r>
      <w:bookmarkEnd w:id="7"/>
    </w:p>
    <w:p w14:paraId="3DED4B12" w14:textId="258C36F2" w:rsidR="000B48C9" w:rsidRPr="001E7605" w:rsidRDefault="000B48C9">
      <w:pPr>
        <w:pStyle w:val="TextoTesis"/>
      </w:pPr>
      <w:r w:rsidRPr="001E7605">
        <w:t>From 8 weeks after infection, mice were anesthetized using isoflurane inhalation (0.8 ­ 1.0% volume in oxygen), and efficacy of the anaesthesia was monitored through breathing rate. Four-</w:t>
      </w:r>
      <w:r w:rsidRPr="001E7605">
        <w:lastRenderedPageBreak/>
        <w:t>lead surface ECGs were recorded for 5 min, from subcutaneous 23-gauge needle electrodes attached to each limb and connected to an MP36R amplifier unit (BIOPAC Systems).</w:t>
      </w:r>
    </w:p>
    <w:p w14:paraId="5365C9A7" w14:textId="36B92DE9" w:rsidR="000B48C9" w:rsidRPr="001E7605" w:rsidRDefault="000B48C9">
      <w:pPr>
        <w:pStyle w:val="TextoTesis"/>
      </w:pPr>
      <w:r w:rsidRPr="001E7605">
        <w:t xml:space="preserve">Lead-II was used to analyse the P, PR, QRS, QT and RR duration using AcqKnowledge 4.1 </w:t>
      </w:r>
      <w:r w:rsidR="009B0AA8" w:rsidRPr="001E7605">
        <w:t>analysis</w:t>
      </w:r>
      <w:r w:rsidRPr="001E7605">
        <w:t xml:space="preserve"> software. QRS duration (before and after isoprenaline or carbachol) was measured as the time interval between the earliest moment of deviation from baseline and the moment when the S wave returned to the isoelectric line. QT duration was measured when the recording returned to the isoelectric line after T wave and was corrected by the Framingham equation </w:t>
      </w:r>
      <w:r w:rsidRPr="001E7605">
        <w:fldChar w:fldCharType="begin"/>
      </w:r>
      <w:r w:rsidR="00A974DD" w:rsidRPr="001E7605">
        <w:instrText xml:space="preserve"> ADDIN ZOTERO_ITEM CSL_CITATION {"citationID":"m9oNHhhO","properties":{"formattedCitation":"\\super 14\\nosupersub{}","plainCitation":"14","noteIndex":0},"citationItems":[{"id":243,"uris":["http://zotero.org/users/10967336/items/NKQRBMYS",["http://zotero.org/users/10967336/items/NKQRBMYS"]],"itemData":{"id":243,"type":"article-journal","container-title":"The American Journal of Cardiology","DOI":"10.1016/0002-9149(92)90562-D","ISSN":"00029149","issue":"7","journalAbbreviation":"The American Journal of Cardiology","language":"en","page":"797-801","source":"DOI.org (Crossref)","title":"An improved method for adjusting the QT interval for heart rate (the Framingham Heart Study)","volume":"70","author":[{"family":"Sagie","given":"Alex"},{"family":"Larson","given":"Martin G."},{"family":"Goldberg","given":"Robert J."},{"family":"Bengtson","given":"James R."},{"family":"Levy","given":"Daniel"}],"issued":{"date-parts":[["1992",9]]}}}],"schema":"https://github.com/citation-style-language/schema/raw/master/csl-citation.json"} </w:instrText>
      </w:r>
      <w:r w:rsidRPr="001E7605">
        <w:fldChar w:fldCharType="separate"/>
      </w:r>
      <w:r w:rsidR="00A974DD" w:rsidRPr="001E7605">
        <w:rPr>
          <w:rFonts w:cs="Times New Roman"/>
          <w:szCs w:val="24"/>
          <w:vertAlign w:val="superscript"/>
        </w:rPr>
        <w:t>14</w:t>
      </w:r>
      <w:r w:rsidRPr="001E7605">
        <w:fldChar w:fldCharType="end"/>
      </w:r>
      <w:r w:rsidRPr="001E7605">
        <w:t>.</w:t>
      </w:r>
    </w:p>
    <w:p w14:paraId="496CBB76" w14:textId="77777777" w:rsidR="000409C0" w:rsidRPr="001E7605" w:rsidRDefault="000409C0">
      <w:pPr>
        <w:pStyle w:val="TextoTesis"/>
      </w:pPr>
    </w:p>
    <w:p w14:paraId="02F5FCE3" w14:textId="757525A7" w:rsidR="000B48C9" w:rsidRPr="001E7605" w:rsidRDefault="000B48C9" w:rsidP="00FF720A">
      <w:pPr>
        <w:pStyle w:val="Ttulo3Tesis"/>
      </w:pPr>
      <w:bookmarkStart w:id="8" w:name="_Toc145663639"/>
      <w:r w:rsidRPr="001E7605">
        <w:t>Programmed Electrical Stimulation</w:t>
      </w:r>
      <w:bookmarkEnd w:id="8"/>
    </w:p>
    <w:p w14:paraId="31F3558D" w14:textId="35664E09" w:rsidR="000B48C9" w:rsidRPr="001E7605" w:rsidRDefault="000B48C9">
      <w:pPr>
        <w:pStyle w:val="TextoTesis"/>
      </w:pPr>
      <w:r w:rsidRPr="001E7605">
        <w:t>From 8-weeks post-infection, mice were anesthetized by intraperitoneal injection of ketamine (60 mg/kg)</w:t>
      </w:r>
      <w:r w:rsidR="00632EB6" w:rsidRPr="001E7605">
        <w:t xml:space="preserve"> and</w:t>
      </w:r>
      <w:r w:rsidRPr="001E7605">
        <w:t xml:space="preserve"> xylazine (20 mg/kg). Once anesthetized, the mouse was placed in a supine position and ECG electrodes were taped in its limbs. An </w:t>
      </w:r>
      <w:proofErr w:type="spellStart"/>
      <w:r w:rsidRPr="001E7605">
        <w:t>octapolar</w:t>
      </w:r>
      <w:proofErr w:type="spellEnd"/>
      <w:r w:rsidRPr="001E7605">
        <w:t xml:space="preserve"> catheter (Science) was inserted through the jugular vein and advanced into the right atrium (RA) and ventricle as previously described</w:t>
      </w:r>
      <w:r w:rsidR="00B47094" w:rsidRPr="001E7605">
        <w:t xml:space="preserve"> </w:t>
      </w:r>
      <w:r w:rsidR="00B47094" w:rsidRPr="001E7605">
        <w:fldChar w:fldCharType="begin"/>
      </w:r>
      <w:r w:rsidR="00A974DD" w:rsidRPr="001E7605">
        <w:instrText xml:space="preserve"> ADDIN ZOTERO_ITEM CSL_CITATION {"citationID":"sn7CPZFD","properties":{"formattedCitation":"\\super 15\\nosupersub{}","plainCitation":"15","noteIndex":0},"citationItems":[{"id":239,"uris":["http://zotero.org/users/10967336/items/P84UK4QW",["http://zotero.org/users/10967336/items/P84UK4QW"]],"itemData":{"id":239,"type":"article-journal","container-title":"Journal of Visualized Experiments","DOI":"10.3791/1730","ISSN":"1940-087X","issue":"39","journalAbbreviation":"JoVE","language":"en","page":"1730","source":"DOI.org (Crossref)","title":"Programmed Electrical Stimulation in Mice","author":[{"family":"Li","given":"Na"},{"family":"Wehrens","given":"Xander H.T"}],"issued":{"date-parts":[["2010",5,26]]}}}],"schema":"https://github.com/citation-style-language/schema/raw/master/csl-citation.json"} </w:instrText>
      </w:r>
      <w:r w:rsidR="00B47094" w:rsidRPr="001E7605">
        <w:fldChar w:fldCharType="separate"/>
      </w:r>
      <w:r w:rsidR="00A974DD" w:rsidRPr="001E7605">
        <w:rPr>
          <w:rFonts w:cs="Times New Roman"/>
          <w:szCs w:val="24"/>
          <w:vertAlign w:val="superscript"/>
        </w:rPr>
        <w:t>15</w:t>
      </w:r>
      <w:r w:rsidR="00B47094" w:rsidRPr="001E7605">
        <w:fldChar w:fldCharType="end"/>
      </w:r>
      <w:r w:rsidRPr="001E7605">
        <w:t xml:space="preserve">  and shown in Figure 12. Briefly, the right jugular vein was exposed and its proximal end was tied with a 6-0 suture. Another suture was placed at the distal end and it was tied once the catheter is properly placed. To insert the catheter, a small incision was made in the longitudinal direction of the vein. Proper catheter position was verified by visualization of the waveforms after stimulating the atria or the ventricle. </w:t>
      </w:r>
    </w:p>
    <w:p w14:paraId="5F25C7D5" w14:textId="1BD09B11" w:rsidR="000B48C9" w:rsidRPr="001E7605" w:rsidRDefault="000B48C9">
      <w:pPr>
        <w:pStyle w:val="TextoTesis"/>
      </w:pPr>
      <w:r w:rsidRPr="001E7605">
        <w:t xml:space="preserve">Atrial and ventricular arrhythmia inducibility was assessed by application of 10 atrial or ventricular bursts. These bursts consisted in 10 pulses </w:t>
      </w:r>
      <w:r w:rsidR="00CE1D9F" w:rsidRPr="001E7605">
        <w:t xml:space="preserve">of 5 </w:t>
      </w:r>
      <w:proofErr w:type="spellStart"/>
      <w:r w:rsidR="00CE1D9F" w:rsidRPr="001E7605">
        <w:t>ms</w:t>
      </w:r>
      <w:proofErr w:type="spellEnd"/>
      <w:r w:rsidR="00A27416" w:rsidRPr="001E7605">
        <w:t xml:space="preserve"> duration</w:t>
      </w:r>
      <w:r w:rsidR="00A700D7" w:rsidRPr="001E7605">
        <w:t xml:space="preserve"> each</w:t>
      </w:r>
      <w:r w:rsidR="00A27416" w:rsidRPr="001E7605">
        <w:t xml:space="preserve"> </w:t>
      </w:r>
      <w:r w:rsidRPr="001E7605">
        <w:t xml:space="preserve">at 6 V at a frequency of 10 Hz followed by another 10 pulses at </w:t>
      </w:r>
      <w:r w:rsidR="00FE6CBE" w:rsidRPr="001E7605">
        <w:t xml:space="preserve">33 </w:t>
      </w:r>
      <w:r w:rsidRPr="001E7605">
        <w:t>Hz. Sinus node recovery time (SNRT), defined as the interval between the last stimulus in the pacing train and the onset of first spontaneous sinus beat, was analysed. PR duration was measured after each programmed electrical stimulation (PES) during the following 20 beats. Data were captured and analysed with LabScribe4, iWork.</w:t>
      </w:r>
    </w:p>
    <w:p w14:paraId="6F4787A3" w14:textId="77777777" w:rsidR="000409C0" w:rsidRPr="001E7605" w:rsidRDefault="000409C0">
      <w:pPr>
        <w:pStyle w:val="TextoTesis"/>
      </w:pPr>
    </w:p>
    <w:p w14:paraId="1B94B42D" w14:textId="00690044" w:rsidR="000B48C9" w:rsidRPr="001E7605" w:rsidRDefault="000B48C9" w:rsidP="00FF720A">
      <w:pPr>
        <w:pStyle w:val="Ttulo3Tesis"/>
      </w:pPr>
      <w:bookmarkStart w:id="9" w:name="_Toc145663640"/>
      <w:r w:rsidRPr="001E7605">
        <w:t>Isolation of adult mice ventricular cardiomyocytes</w:t>
      </w:r>
      <w:bookmarkEnd w:id="9"/>
    </w:p>
    <w:p w14:paraId="32D0D992" w14:textId="7E2A6F56" w:rsidR="000B48C9" w:rsidRPr="001E7605" w:rsidRDefault="000B48C9">
      <w:pPr>
        <w:pStyle w:val="TextoTesis"/>
      </w:pPr>
      <w:r w:rsidRPr="001E7605">
        <w:t>Mouse ventricular cardiomyocytes (CMs) were isolated as previously described</w:t>
      </w:r>
      <w:r w:rsidR="00B47094" w:rsidRPr="001E7605">
        <w:t xml:space="preserve"> </w:t>
      </w:r>
      <w:r w:rsidR="00B47094" w:rsidRPr="001E7605">
        <w:fldChar w:fldCharType="begin"/>
      </w:r>
      <w:r w:rsidR="00A974DD" w:rsidRPr="001E7605">
        <w:instrText xml:space="preserve"> ADDIN ZOTERO_ITEM CSL_CITATION {"citationID":"kk7KjT4Q","properties":{"formattedCitation":"\\super 16,17\\nosupersub{}","plainCitation":"16,17","noteIndex":0},"citationItems":[{"id":253,"uris":["http://zotero.org/users/10967336/items/QLFIP5XZ",["http://zotero.org/users/10967336/items/QLFIP5XZ"],["http://zotero.org/users/10967336/items/QLFIP5XZ",["http://zotero.org/users/10967336/items/QLFIP5XZ"]]],"itemData":{"id":253,"type":"article-journal","container-title":"Basic Research in Cardiology","DOI":"10.1007/s00395-014-0422-0","ISSN":"0300-8428, 1435-1803","issue":"4","journalAbbreviation":"Basic Res Cardiol","language":"en","page":"422","source":"DOI.org (Crossref)","title":"β3 adrenergic receptor selective stimulation during ischemia/reperfusion improves cardiac function in translational models through inhibition of mPTP opening in cardiomyocytes","volume":"109","author":[{"family":"García-Prieto","given":"Jaime"},{"family":"García-Ruiz","given":"Jose Manuel"},{"family":"Sanz-Rosa","given":"David"},{"family":"Pun","given":"Andrés"},{"family":"García-Alvarez","given":"Ana"},{"family":"Davidson","given":"Sean M."},{"family":"Fernández-Friera","given":"Leticia"},{"family":"Nuno-Ayala","given":"Mario"},{"family":"Fernández-Jiménez","given":"Rodrigo"},{"family":"Bernal","given":"Juan A."},{"family":"Izquierdo-Garcia","given":"José Luis"},{"family":"Jimenez-Borreguero","given":"Jesús"},{"family":"Pizarro","given":"Gonzalo"},{"family":"Ruiz-Cabello","given":"Jesús"},{"family":"Macaya","given":"Carlos"},{"family":"Fuster","given":"Valentín"},{"family":"Yellon","given":"Derek M."},{"family":"Ibanez","given":"Borja"}],"issued":{"date-parts":[["2014",7]]}}},{"id":252,"uris":["http://zotero.org/users/10967336/items/CF3FI9LU",["http://zotero.org/users/10967336/items/CF3FI9LU"],["http://zotero.org/users/10967336/items/CF3FI9LU",["http://zotero.org/users/10967336/items/CF3FI9LU"]]],"itemData":{"id":252,"type":"article-journal","abstract":"Abstract\n            \n              Aims\n              Hutchinson–Gilford progeria syndrome (HGPS) is an ultrarare laminopathy caused by expression of progerin, a lamin A variant, also present at low levels in non-HGPS individuals. HGPS patients age and die prematurely, predominantly from cardiovascular complications. Progerin-induced cardiac repolarization defects have been described previously, although the underlying mechanisms are unknown.\n            \n            \n              Methods and results\n              We conducted studies in heart tissue from progerin-expressing LmnaG609G/G609G (G609G) mice, including microscopy, intracellular calcium dynamics, patch-clamping, in vivo magnetic resonance imaging, and electrocardiography. G609G mouse cardiomyocytes showed tubulin-cytoskeleton disorganization, t-tubular system disruption, sarcomere shortening, altered excitation–contraction coupling, and reductions in ventricular thickening and cardiac index. G609G mice exhibited severe bradycardia, and significant alterations of atrio-ventricular conduction and repolarization. Most importantly, 50% of G609G mice had altered heart rate variability, and sinoatrial block, both significant signs of premature cardiac aging. G609G cardiomyocytes had electrophysiological alterations, which resulted in an elevated action potential plateau and early afterdepolarization bursting, reflecting slower sodium current inactivation and long Ca+2 transient duration, which may also help explain the mild QT prolongation in some HGPS patients. Chronic treatment with low-dose paclitaxel ameliorated structural and functional alterations in G609G hearts.\n            \n            \n              Conclusions\n              Our results demonstrate that tubulin-cytoskeleton disorganization in progerin-expressing cardiomyocytes causes structural, cardiac conduction, and excitation–contraction coupling defects, all of which can be partially corrected by chronic treatment with low dose paclitaxel.","container-title":"Cardiovascular Research","DOI":"10.1093/cvr/cvab055","ISSN":"0008-6363, 1755-3245","issue":"2","language":"en","page":"503-516","source":"DOI.org (Crossref)","title":"Paclitaxel mitigates structural alterations and cardiac conduction system defects in a mouse model of Hutchinson–Gilford progeria syndrome","volume":"118","author":[{"family":"Macías","given":"Álvaro"},{"family":"Díaz-Larrosa","given":"J Jaime"},{"family":"Blanco","given":"Yaazan"},{"family":"Fanjul","given":"Víctor"},{"family":"González-Gómez","given":"Cristina"},{"family":"Gonzalo","given":"Pilar"},{"family":"Andrés-Manzano","given":"María Jesús"},{"family":"Rocha","given":"Andre Monteiro","non-dropping-particle":"da"},{"family":"Ponce-Balbuena","given":"Daniela"},{"family":"Allan","given":"Andrew"},{"family":"Filgueiras-Rama","given":"David"},{"family":"Jalife","given":"José"},{"family":"Andrés","given":"Vicente"}],"issued":{"date-parts":[["2022",1,29]]}}}],"schema":"https://github.com/citation-style-language/schema/raw/master/csl-citation.json"} </w:instrText>
      </w:r>
      <w:r w:rsidR="00B47094" w:rsidRPr="001E7605">
        <w:fldChar w:fldCharType="separate"/>
      </w:r>
      <w:r w:rsidR="00A974DD" w:rsidRPr="001E7605">
        <w:rPr>
          <w:rFonts w:cs="Times New Roman"/>
          <w:szCs w:val="24"/>
          <w:vertAlign w:val="superscript"/>
        </w:rPr>
        <w:t>16,17</w:t>
      </w:r>
      <w:r w:rsidR="00B47094" w:rsidRPr="001E7605">
        <w:fldChar w:fldCharType="end"/>
      </w:r>
      <w:r w:rsidRPr="001E7605">
        <w:t>. From 8 weeks post infection, mice were euthanized in a CO</w:t>
      </w:r>
      <w:r w:rsidRPr="001E7605">
        <w:rPr>
          <w:vertAlign w:val="subscript"/>
        </w:rPr>
        <w:t>2</w:t>
      </w:r>
      <w:r w:rsidRPr="001E7605">
        <w:t xml:space="preserve"> chamber. The heart was quickly removed and </w:t>
      </w:r>
      <w:r w:rsidR="000409C0" w:rsidRPr="001E7605">
        <w:t xml:space="preserve">placed in </w:t>
      </w:r>
      <w:r w:rsidRPr="001E7605">
        <w:t>room temperature</w:t>
      </w:r>
      <w:r w:rsidR="008D7D7C" w:rsidRPr="001E7605">
        <w:t xml:space="preserve"> (RT)</w:t>
      </w:r>
      <w:r w:rsidRPr="001E7605">
        <w:t xml:space="preserve"> Ca</w:t>
      </w:r>
      <w:r w:rsidRPr="001E7605">
        <w:rPr>
          <w:vertAlign w:val="superscript"/>
        </w:rPr>
        <w:t>2+</w:t>
      </w:r>
      <w:r w:rsidRPr="001E7605">
        <w:t xml:space="preserve">-free perfusion buffer (PB, Table </w:t>
      </w:r>
      <w:r w:rsidR="00382F67" w:rsidRPr="001E7605">
        <w:t>2</w:t>
      </w:r>
      <w:r w:rsidRPr="001E7605">
        <w:t xml:space="preserve">). Fat was removed and hearts were cannulated through the ascending aorta and mounted on a modified Langerdoff-perfusion apparatus. </w:t>
      </w:r>
      <w:bookmarkStart w:id="10" w:name="_Hlk218766001"/>
      <w:r w:rsidRPr="001E7605">
        <w:t xml:space="preserve">The heart was perfused with PB </w:t>
      </w:r>
      <w:bookmarkEnd w:id="10"/>
      <w:r w:rsidRPr="001E7605">
        <w:t>(1 ml/min) for 5 min at 37 ºC.</w:t>
      </w:r>
    </w:p>
    <w:p w14:paraId="11378ADC" w14:textId="341F6D5D" w:rsidR="000B48C9" w:rsidRPr="001E7605" w:rsidRDefault="000B48C9">
      <w:pPr>
        <w:pStyle w:val="TextoTesis"/>
      </w:pPr>
      <w:r w:rsidRPr="001E7605">
        <w:t xml:space="preserve">Subsequently, the tissue was enzymatically digested with digestion buffer (DB), which consisted in PB supplemented with 0.2 mg/ml </w:t>
      </w:r>
      <w:proofErr w:type="spellStart"/>
      <w:r w:rsidRPr="001E7605">
        <w:t>Liberase</w:t>
      </w:r>
      <w:r w:rsidRPr="001E7605">
        <w:rPr>
          <w:vertAlign w:val="superscript"/>
        </w:rPr>
        <w:t>TM</w:t>
      </w:r>
      <w:proofErr w:type="spellEnd"/>
      <w:r w:rsidRPr="001E7605">
        <w:t>, 5.5 mM trypsin 2.5% and 12.5 µM CaCl</w:t>
      </w:r>
      <w:r w:rsidRPr="001E7605">
        <w:rPr>
          <w:vertAlign w:val="subscript"/>
        </w:rPr>
        <w:t>2</w:t>
      </w:r>
      <w:r w:rsidRPr="001E7605">
        <w:t xml:space="preserve"> for 15 min at 37 ºC. At the end of the enzymatic digestion, atria tissue was discarded and both ventricles were isolated and physically disaggregated in 3 ml of DB. The resulting cell suspension was filtered through a 200 µm sterile mesh (SEFAR-Nitex) and enzymes were inactivated by adding up to 10 ml of stopping-buffer-1 (SB-1), which consists of PB supplemented with 7.5% v/v foetal bovine serum (FBS) and 12.5 µM CaCl</w:t>
      </w:r>
      <w:r w:rsidRPr="001E7605">
        <w:rPr>
          <w:vertAlign w:val="subscript"/>
        </w:rPr>
        <w:t>2</w:t>
      </w:r>
      <w:r w:rsidRPr="001E7605">
        <w:t xml:space="preserve">. After gravity sedimentation for 30 min, supernatant was removed and cardiomyocytes were gently resuspended and incubated for 20 min in stopping-buffer-2 (SB-2):  PB containing </w:t>
      </w:r>
      <w:r w:rsidR="000409C0" w:rsidRPr="001E7605">
        <w:t>5%</w:t>
      </w:r>
      <w:r w:rsidRPr="001E7605">
        <w:t xml:space="preserve"> FBS and 12.5 µM CaCl</w:t>
      </w:r>
      <w:r w:rsidRPr="001E7605">
        <w:rPr>
          <w:vertAlign w:val="subscript"/>
        </w:rPr>
        <w:t>2</w:t>
      </w:r>
      <w:r w:rsidRPr="001E7605">
        <w:t>. Cardiomyocytes were reloaded with Ca</w:t>
      </w:r>
      <w:r w:rsidRPr="001E7605">
        <w:rPr>
          <w:vertAlign w:val="superscript"/>
        </w:rPr>
        <w:t>2+</w:t>
      </w:r>
      <w:r w:rsidRPr="001E7605">
        <w:t xml:space="preserve"> by </w:t>
      </w:r>
      <w:r w:rsidRPr="001E7605">
        <w:lastRenderedPageBreak/>
        <w:t>incubation in SB-2 containing two progressively increased CaCl</w:t>
      </w:r>
      <w:r w:rsidRPr="001E7605">
        <w:rPr>
          <w:vertAlign w:val="subscript"/>
        </w:rPr>
        <w:t>2</w:t>
      </w:r>
      <w:r w:rsidRPr="001E7605">
        <w:t xml:space="preserve"> concentrations (0.112 and 1 mM). Cells were resuspended and </w:t>
      </w:r>
      <w:r w:rsidRPr="00A945AB">
        <w:t xml:space="preserve">allowed </w:t>
      </w:r>
      <w:r w:rsidR="00205A1B" w:rsidRPr="00A945AB">
        <w:t xml:space="preserve">to settle </w:t>
      </w:r>
      <w:r w:rsidRPr="00A945AB">
        <w:t>for 15 min</w:t>
      </w:r>
      <w:r w:rsidR="00205A1B" w:rsidRPr="00A945AB">
        <w:t xml:space="preserve"> before decanting the supernatant</w:t>
      </w:r>
      <w:r w:rsidRPr="001E7605">
        <w:t xml:space="preserve"> between each step, contributing to the purification of the cardiomyocyte suspension. The rod-shaped cardiomyocytes homogenously resuspended in SB-2 with 1 mM CaCl</w:t>
      </w:r>
      <w:r w:rsidRPr="001E7605">
        <w:rPr>
          <w:vertAlign w:val="subscript"/>
        </w:rPr>
        <w:t>2</w:t>
      </w:r>
      <w:r w:rsidRPr="001E7605">
        <w:t xml:space="preserve"> were used during the same day of the isolation for electrophysiological experiments or fixed in PFA 4% for immunofluorescence assays.</w:t>
      </w:r>
    </w:p>
    <w:p w14:paraId="1AD6E514" w14:textId="0732AFD3" w:rsidR="000B48C9" w:rsidRPr="001E7605" w:rsidRDefault="000B48C9" w:rsidP="00B47094">
      <w:pPr>
        <w:pStyle w:val="Heading1"/>
        <w:spacing w:after="120"/>
        <w:rPr>
          <w:rStyle w:val="SubtleEmphasis"/>
          <w:szCs w:val="21"/>
          <w:lang w:val="en-GB"/>
        </w:rPr>
      </w:pPr>
      <w:bookmarkStart w:id="11" w:name="_Toc145605321"/>
      <w:r w:rsidRPr="001E7605">
        <w:rPr>
          <w:rStyle w:val="SubtleEmphasis"/>
          <w:szCs w:val="21"/>
          <w:lang w:val="en-GB"/>
        </w:rPr>
        <w:t xml:space="preserve">Table </w:t>
      </w:r>
      <w:r w:rsidR="00F00478" w:rsidRPr="001E7605">
        <w:rPr>
          <w:rStyle w:val="SubtleEmphasis"/>
          <w:szCs w:val="21"/>
          <w:lang w:val="en-GB"/>
        </w:rPr>
        <w:t>2</w:t>
      </w:r>
      <w:r w:rsidRPr="001E7605">
        <w:rPr>
          <w:rStyle w:val="SubtleEmphasis"/>
          <w:szCs w:val="21"/>
          <w:lang w:val="en-GB"/>
        </w:rPr>
        <w:t>. Composition of the Ca</w:t>
      </w:r>
      <w:r w:rsidRPr="001E7605">
        <w:rPr>
          <w:rStyle w:val="SubtleEmphasis"/>
          <w:szCs w:val="21"/>
          <w:vertAlign w:val="superscript"/>
          <w:lang w:val="en-GB"/>
        </w:rPr>
        <w:t>2+</w:t>
      </w:r>
      <w:r w:rsidRPr="001E7605">
        <w:rPr>
          <w:rStyle w:val="SubtleEmphasis"/>
          <w:szCs w:val="21"/>
          <w:lang w:val="en-GB"/>
        </w:rPr>
        <w:t>-free perfusion buffer</w:t>
      </w:r>
      <w:r w:rsidR="000409C0" w:rsidRPr="001E7605">
        <w:rPr>
          <w:rStyle w:val="SubtleEmphasis"/>
          <w:szCs w:val="21"/>
          <w:lang w:val="en-GB"/>
        </w:rPr>
        <w:t xml:space="preserve"> (PB)</w:t>
      </w:r>
      <w:r w:rsidRPr="001E7605">
        <w:rPr>
          <w:rStyle w:val="SubtleEmphasis"/>
          <w:szCs w:val="21"/>
          <w:lang w:val="en-GB"/>
        </w:rPr>
        <w:t xml:space="preserve"> for the isolation of mouse ventricular cardiomyocytes.</w:t>
      </w:r>
      <w:bookmarkEnd w:id="11"/>
    </w:p>
    <w:tbl>
      <w:tblPr>
        <w:tblStyle w:val="TableGrid"/>
        <w:tblW w:w="0" w:type="auto"/>
        <w:tblLook w:val="04A0" w:firstRow="1" w:lastRow="0" w:firstColumn="1" w:lastColumn="0" w:noHBand="0" w:noVBand="1"/>
      </w:tblPr>
      <w:tblGrid>
        <w:gridCol w:w="4500"/>
        <w:gridCol w:w="4516"/>
      </w:tblGrid>
      <w:tr w:rsidR="000B48C9" w:rsidRPr="001E7605" w14:paraId="521BEEAA" w14:textId="77777777" w:rsidTr="00C82F48">
        <w:tc>
          <w:tcPr>
            <w:tcW w:w="4865"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tcPr>
          <w:p w14:paraId="411EEADC" w14:textId="77777777" w:rsidR="000B48C9" w:rsidRPr="001E7605" w:rsidRDefault="000B48C9" w:rsidP="0082688A">
            <w:pPr>
              <w:spacing w:line="276" w:lineRule="auto"/>
              <w:jc w:val="center"/>
              <w:rPr>
                <w:rFonts w:ascii="Garamond" w:hAnsi="Garamond"/>
                <w:b/>
                <w:sz w:val="22"/>
                <w:lang w:val="en-GB"/>
              </w:rPr>
            </w:pPr>
            <w:bookmarkStart w:id="12" w:name="_Hlk177988737"/>
            <w:r w:rsidRPr="001E7605">
              <w:rPr>
                <w:rFonts w:ascii="Garamond" w:hAnsi="Garamond"/>
                <w:b/>
                <w:sz w:val="22"/>
                <w:lang w:val="en-GB"/>
              </w:rPr>
              <w:t>Reagent</w:t>
            </w:r>
          </w:p>
        </w:tc>
        <w:tc>
          <w:tcPr>
            <w:tcW w:w="4865"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tcPr>
          <w:p w14:paraId="5A24D568" w14:textId="77777777" w:rsidR="000B48C9" w:rsidRPr="001E7605" w:rsidRDefault="000B48C9" w:rsidP="0082688A">
            <w:pPr>
              <w:spacing w:line="276" w:lineRule="auto"/>
              <w:jc w:val="center"/>
              <w:rPr>
                <w:rFonts w:ascii="Garamond" w:hAnsi="Garamond"/>
                <w:b/>
                <w:sz w:val="22"/>
                <w:lang w:val="en-GB"/>
              </w:rPr>
            </w:pPr>
            <w:r w:rsidRPr="001E7605">
              <w:rPr>
                <w:rFonts w:ascii="Garamond" w:hAnsi="Garamond"/>
                <w:b/>
                <w:sz w:val="22"/>
                <w:lang w:val="en-GB"/>
              </w:rPr>
              <w:t>Final concentration (mM)</w:t>
            </w:r>
          </w:p>
        </w:tc>
      </w:tr>
      <w:tr w:rsidR="000B48C9" w:rsidRPr="001E7605" w14:paraId="3D4B2804" w14:textId="77777777" w:rsidTr="00C82F48">
        <w:tc>
          <w:tcPr>
            <w:tcW w:w="4865" w:type="dxa"/>
            <w:tcBorders>
              <w:top w:val="double" w:sz="4" w:space="0" w:color="auto"/>
              <w:left w:val="single" w:sz="4" w:space="0" w:color="auto"/>
              <w:bottom w:val="nil"/>
              <w:right w:val="single" w:sz="4" w:space="0" w:color="auto"/>
            </w:tcBorders>
            <w:vAlign w:val="center"/>
          </w:tcPr>
          <w:p w14:paraId="149FE194"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NaCl</w:t>
            </w:r>
          </w:p>
        </w:tc>
        <w:tc>
          <w:tcPr>
            <w:tcW w:w="4865" w:type="dxa"/>
            <w:tcBorders>
              <w:top w:val="double" w:sz="4" w:space="0" w:color="auto"/>
              <w:left w:val="single" w:sz="4" w:space="0" w:color="auto"/>
              <w:bottom w:val="nil"/>
              <w:right w:val="single" w:sz="4" w:space="0" w:color="auto"/>
            </w:tcBorders>
            <w:vAlign w:val="center"/>
          </w:tcPr>
          <w:p w14:paraId="549D9ADE"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113</w:t>
            </w:r>
          </w:p>
        </w:tc>
      </w:tr>
      <w:tr w:rsidR="000B48C9" w:rsidRPr="001E7605" w14:paraId="2C2795B6" w14:textId="77777777" w:rsidTr="00301F0B">
        <w:tc>
          <w:tcPr>
            <w:tcW w:w="4865" w:type="dxa"/>
            <w:tcBorders>
              <w:top w:val="nil"/>
              <w:left w:val="single" w:sz="4" w:space="0" w:color="auto"/>
              <w:bottom w:val="nil"/>
              <w:right w:val="single" w:sz="4" w:space="0" w:color="auto"/>
            </w:tcBorders>
            <w:vAlign w:val="center"/>
          </w:tcPr>
          <w:p w14:paraId="074AF47A"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KCl</w:t>
            </w:r>
          </w:p>
        </w:tc>
        <w:tc>
          <w:tcPr>
            <w:tcW w:w="4865" w:type="dxa"/>
            <w:tcBorders>
              <w:top w:val="nil"/>
              <w:left w:val="single" w:sz="4" w:space="0" w:color="auto"/>
              <w:bottom w:val="nil"/>
              <w:right w:val="single" w:sz="4" w:space="0" w:color="auto"/>
            </w:tcBorders>
            <w:vAlign w:val="center"/>
          </w:tcPr>
          <w:p w14:paraId="6191A9AF"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4.7</w:t>
            </w:r>
          </w:p>
        </w:tc>
      </w:tr>
      <w:tr w:rsidR="000B48C9" w:rsidRPr="001E7605" w14:paraId="49F1E4F4" w14:textId="77777777" w:rsidTr="00301F0B">
        <w:tc>
          <w:tcPr>
            <w:tcW w:w="4865" w:type="dxa"/>
            <w:tcBorders>
              <w:top w:val="nil"/>
              <w:left w:val="single" w:sz="4" w:space="0" w:color="auto"/>
              <w:bottom w:val="nil"/>
              <w:right w:val="single" w:sz="4" w:space="0" w:color="auto"/>
            </w:tcBorders>
            <w:vAlign w:val="center"/>
          </w:tcPr>
          <w:p w14:paraId="05A7399E"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KH</w:t>
            </w:r>
            <w:r w:rsidRPr="001E7605">
              <w:rPr>
                <w:rFonts w:ascii="Garamond" w:hAnsi="Garamond"/>
                <w:sz w:val="22"/>
                <w:vertAlign w:val="subscript"/>
                <w:lang w:val="en-GB"/>
              </w:rPr>
              <w:t>2</w:t>
            </w:r>
            <w:r w:rsidRPr="001E7605">
              <w:rPr>
                <w:rFonts w:ascii="Garamond" w:hAnsi="Garamond"/>
                <w:sz w:val="22"/>
                <w:lang w:val="en-GB"/>
              </w:rPr>
              <w:t>PO</w:t>
            </w:r>
            <w:r w:rsidRPr="001E7605">
              <w:rPr>
                <w:rFonts w:ascii="Garamond" w:hAnsi="Garamond"/>
                <w:sz w:val="22"/>
                <w:vertAlign w:val="subscript"/>
                <w:lang w:val="en-GB"/>
              </w:rPr>
              <w:t>4</w:t>
            </w:r>
          </w:p>
        </w:tc>
        <w:tc>
          <w:tcPr>
            <w:tcW w:w="4865" w:type="dxa"/>
            <w:tcBorders>
              <w:top w:val="nil"/>
              <w:left w:val="single" w:sz="4" w:space="0" w:color="auto"/>
              <w:bottom w:val="nil"/>
              <w:right w:val="single" w:sz="4" w:space="0" w:color="auto"/>
            </w:tcBorders>
            <w:vAlign w:val="center"/>
          </w:tcPr>
          <w:p w14:paraId="7B5A1559"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0.6</w:t>
            </w:r>
          </w:p>
        </w:tc>
      </w:tr>
      <w:tr w:rsidR="000B48C9" w:rsidRPr="001E7605" w14:paraId="7F8DD0E1" w14:textId="77777777" w:rsidTr="00301F0B">
        <w:tc>
          <w:tcPr>
            <w:tcW w:w="4865" w:type="dxa"/>
            <w:tcBorders>
              <w:top w:val="nil"/>
              <w:left w:val="single" w:sz="4" w:space="0" w:color="auto"/>
              <w:bottom w:val="nil"/>
              <w:right w:val="single" w:sz="4" w:space="0" w:color="auto"/>
            </w:tcBorders>
            <w:vAlign w:val="center"/>
          </w:tcPr>
          <w:p w14:paraId="5FE93496"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Na</w:t>
            </w:r>
            <w:r w:rsidRPr="001E7605">
              <w:rPr>
                <w:rFonts w:ascii="Garamond" w:hAnsi="Garamond"/>
                <w:sz w:val="22"/>
                <w:vertAlign w:val="subscript"/>
                <w:lang w:val="en-GB"/>
              </w:rPr>
              <w:t>2</w:t>
            </w:r>
            <w:r w:rsidRPr="001E7605">
              <w:rPr>
                <w:rFonts w:ascii="Garamond" w:hAnsi="Garamond"/>
                <w:sz w:val="22"/>
                <w:lang w:val="en-GB"/>
              </w:rPr>
              <w:t>HPO</w:t>
            </w:r>
            <w:r w:rsidRPr="001E7605">
              <w:rPr>
                <w:rFonts w:ascii="Garamond" w:hAnsi="Garamond"/>
                <w:sz w:val="22"/>
                <w:vertAlign w:val="subscript"/>
                <w:lang w:val="en-GB"/>
              </w:rPr>
              <w:t>4</w:t>
            </w:r>
          </w:p>
        </w:tc>
        <w:tc>
          <w:tcPr>
            <w:tcW w:w="4865" w:type="dxa"/>
            <w:tcBorders>
              <w:top w:val="nil"/>
              <w:left w:val="single" w:sz="4" w:space="0" w:color="auto"/>
              <w:bottom w:val="nil"/>
              <w:right w:val="single" w:sz="4" w:space="0" w:color="auto"/>
            </w:tcBorders>
            <w:vAlign w:val="center"/>
          </w:tcPr>
          <w:p w14:paraId="1093576E"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0.6</w:t>
            </w:r>
          </w:p>
        </w:tc>
      </w:tr>
      <w:tr w:rsidR="000B48C9" w:rsidRPr="001E7605" w14:paraId="500CA14D" w14:textId="77777777" w:rsidTr="00301F0B">
        <w:tc>
          <w:tcPr>
            <w:tcW w:w="4865" w:type="dxa"/>
            <w:tcBorders>
              <w:top w:val="nil"/>
              <w:left w:val="single" w:sz="4" w:space="0" w:color="auto"/>
              <w:bottom w:val="nil"/>
              <w:right w:val="single" w:sz="4" w:space="0" w:color="auto"/>
            </w:tcBorders>
            <w:vAlign w:val="center"/>
          </w:tcPr>
          <w:p w14:paraId="7E93313C" w14:textId="1F380826"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MgSO</w:t>
            </w:r>
            <w:r w:rsidRPr="001E7605">
              <w:rPr>
                <w:rFonts w:ascii="Garamond" w:hAnsi="Garamond"/>
                <w:sz w:val="22"/>
                <w:vertAlign w:val="subscript"/>
                <w:lang w:val="en-GB"/>
              </w:rPr>
              <w:t>4</w:t>
            </w:r>
            <w:r w:rsidR="00A27416" w:rsidRPr="001E7605">
              <w:rPr>
                <w:rFonts w:ascii="Garamond" w:hAnsi="Garamond"/>
                <w:sz w:val="22"/>
                <w:lang w:val="en-GB"/>
              </w:rPr>
              <w:t xml:space="preserve"> • </w:t>
            </w:r>
            <w:r w:rsidRPr="001E7605">
              <w:rPr>
                <w:rFonts w:ascii="Garamond" w:hAnsi="Garamond"/>
                <w:sz w:val="22"/>
                <w:lang w:val="en-GB"/>
              </w:rPr>
              <w:t>7H</w:t>
            </w:r>
            <w:r w:rsidRPr="001E7605">
              <w:rPr>
                <w:rFonts w:ascii="Garamond" w:hAnsi="Garamond"/>
                <w:sz w:val="22"/>
                <w:vertAlign w:val="subscript"/>
                <w:lang w:val="en-GB"/>
              </w:rPr>
              <w:t>2</w:t>
            </w:r>
            <w:r w:rsidRPr="001E7605">
              <w:rPr>
                <w:rFonts w:ascii="Garamond" w:hAnsi="Garamond"/>
                <w:sz w:val="22"/>
                <w:lang w:val="en-GB"/>
              </w:rPr>
              <w:t>0</w:t>
            </w:r>
          </w:p>
        </w:tc>
        <w:tc>
          <w:tcPr>
            <w:tcW w:w="4865" w:type="dxa"/>
            <w:tcBorders>
              <w:top w:val="nil"/>
              <w:left w:val="single" w:sz="4" w:space="0" w:color="auto"/>
              <w:bottom w:val="nil"/>
              <w:right w:val="single" w:sz="4" w:space="0" w:color="auto"/>
            </w:tcBorders>
            <w:vAlign w:val="center"/>
          </w:tcPr>
          <w:p w14:paraId="6FD4C168"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1.2</w:t>
            </w:r>
          </w:p>
        </w:tc>
      </w:tr>
      <w:tr w:rsidR="000B48C9" w:rsidRPr="001E7605" w14:paraId="0BE21490" w14:textId="77777777" w:rsidTr="00301F0B">
        <w:tc>
          <w:tcPr>
            <w:tcW w:w="4865" w:type="dxa"/>
            <w:tcBorders>
              <w:top w:val="nil"/>
              <w:left w:val="single" w:sz="4" w:space="0" w:color="auto"/>
              <w:bottom w:val="nil"/>
              <w:right w:val="single" w:sz="4" w:space="0" w:color="auto"/>
            </w:tcBorders>
            <w:vAlign w:val="center"/>
          </w:tcPr>
          <w:p w14:paraId="0F94DDD1"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NaHCO</w:t>
            </w:r>
            <w:r w:rsidRPr="001E7605">
              <w:rPr>
                <w:rFonts w:ascii="Garamond" w:hAnsi="Garamond"/>
                <w:sz w:val="22"/>
                <w:vertAlign w:val="subscript"/>
                <w:lang w:val="en-GB"/>
              </w:rPr>
              <w:t>3</w:t>
            </w:r>
          </w:p>
        </w:tc>
        <w:tc>
          <w:tcPr>
            <w:tcW w:w="4865" w:type="dxa"/>
            <w:tcBorders>
              <w:top w:val="nil"/>
              <w:left w:val="single" w:sz="4" w:space="0" w:color="auto"/>
              <w:bottom w:val="nil"/>
              <w:right w:val="single" w:sz="4" w:space="0" w:color="auto"/>
            </w:tcBorders>
            <w:vAlign w:val="center"/>
          </w:tcPr>
          <w:p w14:paraId="5D0E6268"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12</w:t>
            </w:r>
          </w:p>
        </w:tc>
      </w:tr>
      <w:tr w:rsidR="000B48C9" w:rsidRPr="001E7605" w14:paraId="6CAE6162" w14:textId="77777777" w:rsidTr="00301F0B">
        <w:tc>
          <w:tcPr>
            <w:tcW w:w="4865" w:type="dxa"/>
            <w:tcBorders>
              <w:top w:val="nil"/>
              <w:left w:val="single" w:sz="4" w:space="0" w:color="auto"/>
              <w:bottom w:val="nil"/>
              <w:right w:val="single" w:sz="4" w:space="0" w:color="auto"/>
            </w:tcBorders>
            <w:vAlign w:val="center"/>
          </w:tcPr>
          <w:p w14:paraId="7B3B978C"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KHCO</w:t>
            </w:r>
            <w:r w:rsidRPr="001E7605">
              <w:rPr>
                <w:rFonts w:ascii="Garamond" w:hAnsi="Garamond"/>
                <w:sz w:val="22"/>
                <w:vertAlign w:val="subscript"/>
                <w:lang w:val="en-GB"/>
              </w:rPr>
              <w:t>3</w:t>
            </w:r>
          </w:p>
        </w:tc>
        <w:tc>
          <w:tcPr>
            <w:tcW w:w="4865" w:type="dxa"/>
            <w:tcBorders>
              <w:top w:val="nil"/>
              <w:left w:val="single" w:sz="4" w:space="0" w:color="auto"/>
              <w:bottom w:val="nil"/>
              <w:right w:val="single" w:sz="4" w:space="0" w:color="auto"/>
            </w:tcBorders>
            <w:vAlign w:val="center"/>
          </w:tcPr>
          <w:p w14:paraId="3831E1C0"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10</w:t>
            </w:r>
          </w:p>
        </w:tc>
      </w:tr>
      <w:tr w:rsidR="000B48C9" w:rsidRPr="001E7605" w14:paraId="6579CF57" w14:textId="77777777" w:rsidTr="00301F0B">
        <w:tc>
          <w:tcPr>
            <w:tcW w:w="4865" w:type="dxa"/>
            <w:tcBorders>
              <w:top w:val="nil"/>
              <w:left w:val="single" w:sz="4" w:space="0" w:color="auto"/>
              <w:bottom w:val="nil"/>
              <w:right w:val="single" w:sz="4" w:space="0" w:color="auto"/>
            </w:tcBorders>
            <w:vAlign w:val="center"/>
          </w:tcPr>
          <w:p w14:paraId="78DAD63F"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Phenol Red</w:t>
            </w:r>
          </w:p>
        </w:tc>
        <w:tc>
          <w:tcPr>
            <w:tcW w:w="4865" w:type="dxa"/>
            <w:tcBorders>
              <w:top w:val="nil"/>
              <w:left w:val="single" w:sz="4" w:space="0" w:color="auto"/>
              <w:bottom w:val="nil"/>
              <w:right w:val="single" w:sz="4" w:space="0" w:color="auto"/>
            </w:tcBorders>
            <w:vAlign w:val="center"/>
          </w:tcPr>
          <w:p w14:paraId="7E5A3395"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0.032</w:t>
            </w:r>
          </w:p>
        </w:tc>
      </w:tr>
      <w:tr w:rsidR="000B48C9" w:rsidRPr="001E7605" w14:paraId="268C35B6" w14:textId="77777777" w:rsidTr="00301F0B">
        <w:tc>
          <w:tcPr>
            <w:tcW w:w="4865" w:type="dxa"/>
            <w:tcBorders>
              <w:top w:val="nil"/>
              <w:left w:val="single" w:sz="4" w:space="0" w:color="auto"/>
              <w:bottom w:val="nil"/>
              <w:right w:val="single" w:sz="4" w:space="0" w:color="auto"/>
            </w:tcBorders>
            <w:vAlign w:val="center"/>
          </w:tcPr>
          <w:p w14:paraId="0D143252"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HEPES</w:t>
            </w:r>
          </w:p>
        </w:tc>
        <w:tc>
          <w:tcPr>
            <w:tcW w:w="4865" w:type="dxa"/>
            <w:tcBorders>
              <w:top w:val="nil"/>
              <w:left w:val="single" w:sz="4" w:space="0" w:color="auto"/>
              <w:bottom w:val="nil"/>
              <w:right w:val="single" w:sz="4" w:space="0" w:color="auto"/>
            </w:tcBorders>
            <w:vAlign w:val="center"/>
          </w:tcPr>
          <w:p w14:paraId="5ADB34FA"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9.9874</w:t>
            </w:r>
          </w:p>
        </w:tc>
      </w:tr>
      <w:tr w:rsidR="000B48C9" w:rsidRPr="001E7605" w14:paraId="2185ADD1" w14:textId="77777777" w:rsidTr="00301F0B">
        <w:tc>
          <w:tcPr>
            <w:tcW w:w="4865" w:type="dxa"/>
            <w:tcBorders>
              <w:top w:val="nil"/>
              <w:left w:val="single" w:sz="4" w:space="0" w:color="auto"/>
              <w:bottom w:val="nil"/>
              <w:right w:val="single" w:sz="4" w:space="0" w:color="auto"/>
            </w:tcBorders>
            <w:vAlign w:val="center"/>
          </w:tcPr>
          <w:p w14:paraId="6BF54741"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Taurine</w:t>
            </w:r>
          </w:p>
        </w:tc>
        <w:tc>
          <w:tcPr>
            <w:tcW w:w="4865" w:type="dxa"/>
            <w:tcBorders>
              <w:top w:val="nil"/>
              <w:left w:val="single" w:sz="4" w:space="0" w:color="auto"/>
              <w:bottom w:val="nil"/>
              <w:right w:val="single" w:sz="4" w:space="0" w:color="auto"/>
            </w:tcBorders>
            <w:vAlign w:val="center"/>
          </w:tcPr>
          <w:p w14:paraId="3BBB7509"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30</w:t>
            </w:r>
          </w:p>
        </w:tc>
      </w:tr>
      <w:tr w:rsidR="000B48C9" w:rsidRPr="001E7605" w14:paraId="20894F1E" w14:textId="77777777" w:rsidTr="00301F0B">
        <w:tc>
          <w:tcPr>
            <w:tcW w:w="4865" w:type="dxa"/>
            <w:tcBorders>
              <w:top w:val="nil"/>
              <w:left w:val="single" w:sz="4" w:space="0" w:color="auto"/>
              <w:bottom w:val="nil"/>
              <w:right w:val="single" w:sz="4" w:space="0" w:color="auto"/>
            </w:tcBorders>
            <w:vAlign w:val="center"/>
          </w:tcPr>
          <w:p w14:paraId="2069F2B6"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2,3-Butanedione monoxime (BDM)</w:t>
            </w:r>
          </w:p>
        </w:tc>
        <w:tc>
          <w:tcPr>
            <w:tcW w:w="4865" w:type="dxa"/>
            <w:tcBorders>
              <w:top w:val="nil"/>
              <w:left w:val="single" w:sz="4" w:space="0" w:color="auto"/>
              <w:bottom w:val="nil"/>
              <w:right w:val="single" w:sz="4" w:space="0" w:color="auto"/>
            </w:tcBorders>
            <w:vAlign w:val="center"/>
          </w:tcPr>
          <w:p w14:paraId="1B90E40C"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10</w:t>
            </w:r>
          </w:p>
        </w:tc>
      </w:tr>
      <w:tr w:rsidR="000B48C9" w:rsidRPr="001E7605" w14:paraId="13F55202" w14:textId="77777777" w:rsidTr="00301F0B">
        <w:tc>
          <w:tcPr>
            <w:tcW w:w="4865" w:type="dxa"/>
            <w:tcBorders>
              <w:top w:val="nil"/>
              <w:left w:val="single" w:sz="4" w:space="0" w:color="auto"/>
              <w:bottom w:val="single" w:sz="4" w:space="0" w:color="auto"/>
              <w:right w:val="single" w:sz="4" w:space="0" w:color="auto"/>
            </w:tcBorders>
            <w:vAlign w:val="center"/>
          </w:tcPr>
          <w:p w14:paraId="4EACF290"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Glucose monohydrate</w:t>
            </w:r>
          </w:p>
        </w:tc>
        <w:tc>
          <w:tcPr>
            <w:tcW w:w="4865" w:type="dxa"/>
            <w:tcBorders>
              <w:top w:val="nil"/>
              <w:left w:val="single" w:sz="4" w:space="0" w:color="auto"/>
              <w:bottom w:val="single" w:sz="4" w:space="0" w:color="auto"/>
              <w:right w:val="single" w:sz="4" w:space="0" w:color="auto"/>
            </w:tcBorders>
            <w:vAlign w:val="center"/>
          </w:tcPr>
          <w:p w14:paraId="5BE24EC9"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5.5</w:t>
            </w:r>
          </w:p>
        </w:tc>
      </w:tr>
      <w:bookmarkEnd w:id="12"/>
      <w:tr w:rsidR="000B48C9" w:rsidRPr="00FF720A" w14:paraId="56594304" w14:textId="77777777" w:rsidTr="00301F0B">
        <w:tc>
          <w:tcPr>
            <w:tcW w:w="9730" w:type="dxa"/>
            <w:gridSpan w:val="2"/>
            <w:tcBorders>
              <w:top w:val="single" w:sz="4" w:space="0" w:color="auto"/>
              <w:left w:val="single" w:sz="4" w:space="0" w:color="auto"/>
              <w:bottom w:val="single" w:sz="4" w:space="0" w:color="auto"/>
              <w:right w:val="single" w:sz="4" w:space="0" w:color="auto"/>
            </w:tcBorders>
            <w:vAlign w:val="center"/>
          </w:tcPr>
          <w:p w14:paraId="4557DA29"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Dissolved in H</w:t>
            </w:r>
            <w:r w:rsidRPr="001E7605">
              <w:rPr>
                <w:rFonts w:ascii="Garamond" w:hAnsi="Garamond"/>
                <w:sz w:val="22"/>
                <w:vertAlign w:val="subscript"/>
                <w:lang w:val="en-GB"/>
              </w:rPr>
              <w:t>2</w:t>
            </w:r>
            <w:r w:rsidRPr="001E7605">
              <w:rPr>
                <w:rFonts w:ascii="Garamond" w:hAnsi="Garamond"/>
                <w:sz w:val="22"/>
                <w:lang w:val="en-GB"/>
              </w:rPr>
              <w:t>O and pH adjusted to 7.4 with NaOH</w:t>
            </w:r>
          </w:p>
        </w:tc>
      </w:tr>
    </w:tbl>
    <w:p w14:paraId="49EB3B6B" w14:textId="77777777" w:rsidR="000409C0" w:rsidRPr="001E7605" w:rsidRDefault="000409C0" w:rsidP="00FF720A">
      <w:pPr>
        <w:pStyle w:val="Ttulo3Tesis"/>
      </w:pPr>
      <w:bookmarkStart w:id="13" w:name="_Toc145663641"/>
    </w:p>
    <w:p w14:paraId="1E3789CF" w14:textId="6550E9F4" w:rsidR="000B48C9" w:rsidRPr="001E7605" w:rsidRDefault="000B48C9" w:rsidP="00FF720A">
      <w:pPr>
        <w:pStyle w:val="Ttulo3Tesis"/>
      </w:pPr>
      <w:r w:rsidRPr="001E7605">
        <w:t>Electrophysiological recordings</w:t>
      </w:r>
      <w:bookmarkEnd w:id="13"/>
    </w:p>
    <w:p w14:paraId="34B2ACD7" w14:textId="6506D02D" w:rsidR="000B48C9" w:rsidRPr="001E7605" w:rsidRDefault="000B48C9">
      <w:pPr>
        <w:pStyle w:val="TextoTesis"/>
      </w:pPr>
      <w:r w:rsidRPr="001E7605">
        <w:t>For K</w:t>
      </w:r>
      <w:r w:rsidRPr="001E7605">
        <w:rPr>
          <w:vertAlign w:val="subscript"/>
        </w:rPr>
        <w:t>V</w:t>
      </w:r>
      <w:r w:rsidRPr="001E7605">
        <w:t xml:space="preserve">1.5 current recordings, HEK293 (or </w:t>
      </w:r>
      <w:proofErr w:type="spellStart"/>
      <w:r w:rsidRPr="001E7605">
        <w:rPr>
          <w:i/>
        </w:rPr>
        <w:t>Ltk</w:t>
      </w:r>
      <w:proofErr w:type="spellEnd"/>
      <w:r w:rsidRPr="001E7605">
        <w:rPr>
          <w:i/>
          <w:vertAlign w:val="superscript"/>
        </w:rPr>
        <w:t>-</w:t>
      </w:r>
      <w:r w:rsidRPr="001E7605">
        <w:t xml:space="preserve"> cells </w:t>
      </w:r>
      <w:bookmarkStart w:id="14" w:name="_Hlk178592135"/>
      <w:r w:rsidRPr="001E7605">
        <w:t>for K</w:t>
      </w:r>
      <w:r w:rsidRPr="001E7605">
        <w:rPr>
          <w:vertAlign w:val="subscript"/>
        </w:rPr>
        <w:t>V</w:t>
      </w:r>
      <w:r w:rsidRPr="001E7605">
        <w:t>1.5/K</w:t>
      </w:r>
      <w:r w:rsidRPr="001E7605">
        <w:rPr>
          <w:vertAlign w:val="subscript"/>
        </w:rPr>
        <w:t>V</w:t>
      </w:r>
      <w:r w:rsidRPr="001E7605">
        <w:t>β2.1 currents</w:t>
      </w:r>
      <w:bookmarkEnd w:id="14"/>
      <w:r w:rsidRPr="001E7605">
        <w:t xml:space="preserve">) were plated in 60 mm culture dishes (Falcon) with 4 ml of complete DMEM. Cells were transfected at 60% confluence with the cDNA described in Table </w:t>
      </w:r>
      <w:r w:rsidR="00F00478" w:rsidRPr="001E7605">
        <w:t>3</w:t>
      </w:r>
      <w:r w:rsidRPr="001E7605">
        <w:t xml:space="preserve"> using Lipofectamine</w:t>
      </w:r>
      <w:r w:rsidR="00F00478" w:rsidRPr="001E7605">
        <w:t>®</w:t>
      </w:r>
      <w:r w:rsidRPr="001E7605">
        <w:t xml:space="preserve"> 2000 following manufacturer instructions. Lipofectamine 2000® Reagent was used 1:3 ratio</w:t>
      </w:r>
      <w:r w:rsidR="000409C0" w:rsidRPr="001E7605">
        <w:t xml:space="preserve"> (µg:µl)</w:t>
      </w:r>
      <w:r w:rsidRPr="001E7605">
        <w:t xml:space="preserve"> and a volume of transfection mix of 300 µl.</w:t>
      </w:r>
    </w:p>
    <w:p w14:paraId="459D785D" w14:textId="217ECE4E" w:rsidR="000B48C9" w:rsidRPr="001E7605" w:rsidRDefault="000B48C9" w:rsidP="00B47094">
      <w:pPr>
        <w:pStyle w:val="Heading1"/>
        <w:rPr>
          <w:rStyle w:val="SubtleEmphasis"/>
          <w:lang w:val="en-GB"/>
        </w:rPr>
      </w:pPr>
      <w:bookmarkStart w:id="15" w:name="_Toc145605322"/>
      <w:r w:rsidRPr="001E7605">
        <w:rPr>
          <w:rStyle w:val="SubtleEmphasis"/>
          <w:lang w:val="en-GB"/>
        </w:rPr>
        <w:t xml:space="preserve">Table </w:t>
      </w:r>
      <w:r w:rsidR="00F00478" w:rsidRPr="001E7605">
        <w:rPr>
          <w:rStyle w:val="SubtleEmphasis"/>
          <w:lang w:val="en-GB"/>
        </w:rPr>
        <w:t>3</w:t>
      </w:r>
      <w:r w:rsidRPr="001E7605">
        <w:rPr>
          <w:rStyle w:val="SubtleEmphasis"/>
          <w:lang w:val="en-GB"/>
        </w:rPr>
        <w:t>. cDNA amount used for each transfection in patch-clamp experiments.</w:t>
      </w:r>
      <w:bookmarkEnd w:id="15"/>
      <w:r w:rsidRPr="001E7605">
        <w:rPr>
          <w:rStyle w:val="SubtleEmphasis"/>
          <w:lang w:val="en-GB"/>
        </w:rPr>
        <w:t xml:space="preserve"> </w:t>
      </w:r>
    </w:p>
    <w:tbl>
      <w:tblPr>
        <w:tblStyle w:val="TableGrid"/>
        <w:tblW w:w="0" w:type="auto"/>
        <w:jc w:val="center"/>
        <w:tblLook w:val="04A0" w:firstRow="1" w:lastRow="0" w:firstColumn="1" w:lastColumn="0" w:noHBand="0" w:noVBand="1"/>
      </w:tblPr>
      <w:tblGrid>
        <w:gridCol w:w="1744"/>
        <w:gridCol w:w="1747"/>
        <w:gridCol w:w="1748"/>
        <w:gridCol w:w="1748"/>
        <w:gridCol w:w="1501"/>
      </w:tblGrid>
      <w:tr w:rsidR="000B48C9" w:rsidRPr="001E7605" w14:paraId="1AEC5866" w14:textId="77777777" w:rsidTr="00C82F48">
        <w:trPr>
          <w:trHeight w:val="256"/>
          <w:jc w:val="center"/>
        </w:trPr>
        <w:tc>
          <w:tcPr>
            <w:tcW w:w="1744"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tcPr>
          <w:p w14:paraId="451F73D5" w14:textId="77777777" w:rsidR="000B48C9" w:rsidRPr="001E7605" w:rsidRDefault="000B48C9" w:rsidP="0082688A">
            <w:pPr>
              <w:spacing w:line="276" w:lineRule="auto"/>
              <w:jc w:val="center"/>
              <w:rPr>
                <w:rFonts w:ascii="Garamond" w:hAnsi="Garamond"/>
                <w:b/>
                <w:sz w:val="22"/>
                <w:lang w:val="en-GB"/>
              </w:rPr>
            </w:pPr>
            <w:r w:rsidRPr="001E7605">
              <w:rPr>
                <w:rFonts w:ascii="Garamond" w:hAnsi="Garamond"/>
                <w:b/>
                <w:sz w:val="22"/>
                <w:lang w:val="en-GB"/>
              </w:rPr>
              <w:t>cDNA (µg)</w:t>
            </w:r>
          </w:p>
        </w:tc>
        <w:tc>
          <w:tcPr>
            <w:tcW w:w="1747"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tcPr>
          <w:p w14:paraId="62AB895E" w14:textId="77777777" w:rsidR="000B48C9" w:rsidRPr="001E7605" w:rsidRDefault="000B48C9" w:rsidP="0082688A">
            <w:pPr>
              <w:spacing w:line="276" w:lineRule="auto"/>
              <w:jc w:val="center"/>
              <w:rPr>
                <w:rFonts w:ascii="Garamond" w:hAnsi="Garamond"/>
                <w:b/>
                <w:sz w:val="22"/>
                <w:lang w:val="en-GB"/>
              </w:rPr>
            </w:pPr>
            <w:r w:rsidRPr="001E7605">
              <w:rPr>
                <w:rFonts w:ascii="Garamond" w:hAnsi="Garamond"/>
                <w:b/>
                <w:sz w:val="22"/>
                <w:lang w:val="en-GB"/>
              </w:rPr>
              <w:t>K</w:t>
            </w:r>
            <w:r w:rsidRPr="001E7605">
              <w:rPr>
                <w:rFonts w:ascii="Garamond" w:hAnsi="Garamond"/>
                <w:b/>
                <w:sz w:val="22"/>
                <w:vertAlign w:val="subscript"/>
                <w:lang w:val="en-GB"/>
              </w:rPr>
              <w:t>V</w:t>
            </w:r>
            <w:r w:rsidRPr="001E7605">
              <w:rPr>
                <w:rFonts w:ascii="Garamond" w:hAnsi="Garamond"/>
                <w:b/>
                <w:sz w:val="22"/>
                <w:lang w:val="en-GB"/>
              </w:rPr>
              <w:t>1.5 currents</w:t>
            </w:r>
          </w:p>
        </w:tc>
        <w:tc>
          <w:tcPr>
            <w:tcW w:w="1748"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tcPr>
          <w:p w14:paraId="69C1D6EE" w14:textId="77777777" w:rsidR="000B48C9" w:rsidRPr="001E7605" w:rsidRDefault="000B48C9" w:rsidP="0082688A">
            <w:pPr>
              <w:spacing w:line="276" w:lineRule="auto"/>
              <w:jc w:val="center"/>
              <w:rPr>
                <w:rFonts w:ascii="Garamond" w:hAnsi="Garamond"/>
                <w:b/>
                <w:sz w:val="22"/>
                <w:lang w:val="en-GB"/>
              </w:rPr>
            </w:pPr>
            <w:r w:rsidRPr="001E7605">
              <w:rPr>
                <w:rFonts w:ascii="Garamond" w:hAnsi="Garamond"/>
                <w:b/>
                <w:sz w:val="22"/>
                <w:lang w:val="en-GB"/>
              </w:rPr>
              <w:t>K</w:t>
            </w:r>
            <w:r w:rsidRPr="001E7605">
              <w:rPr>
                <w:rFonts w:ascii="Garamond" w:hAnsi="Garamond"/>
                <w:b/>
                <w:sz w:val="22"/>
                <w:vertAlign w:val="subscript"/>
                <w:lang w:val="en-GB"/>
              </w:rPr>
              <w:t>V</w:t>
            </w:r>
            <w:r w:rsidRPr="001E7605">
              <w:rPr>
                <w:rFonts w:ascii="Garamond" w:hAnsi="Garamond"/>
                <w:b/>
                <w:sz w:val="22"/>
                <w:lang w:val="en-GB"/>
              </w:rPr>
              <w:t>1.5/K</w:t>
            </w:r>
            <w:r w:rsidRPr="001E7605">
              <w:rPr>
                <w:rFonts w:ascii="Garamond" w:hAnsi="Garamond"/>
                <w:b/>
                <w:sz w:val="22"/>
                <w:vertAlign w:val="subscript"/>
                <w:lang w:val="en-GB"/>
              </w:rPr>
              <w:t>V</w:t>
            </w:r>
            <w:r w:rsidRPr="001E7605">
              <w:rPr>
                <w:rFonts w:ascii="Garamond" w:hAnsi="Garamond"/>
                <w:b/>
                <w:sz w:val="22"/>
                <w:lang w:val="en-GB"/>
              </w:rPr>
              <w:t>β1.3 currents</w:t>
            </w:r>
          </w:p>
        </w:tc>
        <w:tc>
          <w:tcPr>
            <w:tcW w:w="1748"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tcPr>
          <w:p w14:paraId="4C5F44FF" w14:textId="77777777" w:rsidR="000B48C9" w:rsidRPr="001E7605" w:rsidRDefault="000B48C9" w:rsidP="0082688A">
            <w:pPr>
              <w:spacing w:line="276" w:lineRule="auto"/>
              <w:jc w:val="center"/>
              <w:rPr>
                <w:rFonts w:ascii="Garamond" w:hAnsi="Garamond"/>
                <w:b/>
                <w:sz w:val="22"/>
                <w:lang w:val="en-GB"/>
              </w:rPr>
            </w:pPr>
            <w:r w:rsidRPr="001E7605">
              <w:rPr>
                <w:rFonts w:ascii="Garamond" w:hAnsi="Garamond"/>
                <w:b/>
                <w:sz w:val="22"/>
                <w:lang w:val="en-GB"/>
              </w:rPr>
              <w:t>K</w:t>
            </w:r>
            <w:r w:rsidRPr="001E7605">
              <w:rPr>
                <w:rFonts w:ascii="Garamond" w:hAnsi="Garamond"/>
                <w:b/>
                <w:sz w:val="22"/>
                <w:vertAlign w:val="subscript"/>
                <w:lang w:val="en-GB"/>
              </w:rPr>
              <w:t>V</w:t>
            </w:r>
            <w:r w:rsidRPr="001E7605">
              <w:rPr>
                <w:rFonts w:ascii="Garamond" w:hAnsi="Garamond"/>
                <w:b/>
                <w:sz w:val="22"/>
                <w:lang w:val="en-GB"/>
              </w:rPr>
              <w:t>1.5/K</w:t>
            </w:r>
            <w:r w:rsidRPr="001E7605">
              <w:rPr>
                <w:rFonts w:ascii="Garamond" w:hAnsi="Garamond"/>
                <w:b/>
                <w:sz w:val="22"/>
                <w:vertAlign w:val="subscript"/>
                <w:lang w:val="en-GB"/>
              </w:rPr>
              <w:t>V</w:t>
            </w:r>
            <w:r w:rsidRPr="001E7605">
              <w:rPr>
                <w:rFonts w:ascii="Garamond" w:hAnsi="Garamond"/>
                <w:b/>
                <w:sz w:val="22"/>
                <w:lang w:val="en-GB"/>
              </w:rPr>
              <w:t>β1.2 currents</w:t>
            </w:r>
          </w:p>
        </w:tc>
        <w:tc>
          <w:tcPr>
            <w:tcW w:w="1501"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tcPr>
          <w:p w14:paraId="7DE6D0FC" w14:textId="77777777" w:rsidR="000B48C9" w:rsidRPr="001E7605" w:rsidRDefault="000B48C9" w:rsidP="0082688A">
            <w:pPr>
              <w:spacing w:line="276" w:lineRule="auto"/>
              <w:jc w:val="center"/>
              <w:rPr>
                <w:rFonts w:ascii="Garamond" w:hAnsi="Garamond"/>
                <w:b/>
                <w:sz w:val="22"/>
                <w:lang w:val="en-GB"/>
              </w:rPr>
            </w:pPr>
            <w:r w:rsidRPr="001E7605">
              <w:rPr>
                <w:rFonts w:ascii="Garamond" w:hAnsi="Garamond"/>
                <w:b/>
                <w:sz w:val="22"/>
                <w:lang w:val="en-GB"/>
              </w:rPr>
              <w:t>K</w:t>
            </w:r>
            <w:r w:rsidRPr="001E7605">
              <w:rPr>
                <w:rFonts w:ascii="Garamond" w:hAnsi="Garamond"/>
                <w:b/>
                <w:sz w:val="22"/>
                <w:vertAlign w:val="subscript"/>
                <w:lang w:val="en-GB"/>
              </w:rPr>
              <w:t>V</w:t>
            </w:r>
            <w:r w:rsidRPr="001E7605">
              <w:rPr>
                <w:rFonts w:ascii="Garamond" w:hAnsi="Garamond"/>
                <w:b/>
                <w:sz w:val="22"/>
                <w:lang w:val="en-GB"/>
              </w:rPr>
              <w:t>1.5/K</w:t>
            </w:r>
            <w:r w:rsidRPr="001E7605">
              <w:rPr>
                <w:rFonts w:ascii="Garamond" w:hAnsi="Garamond"/>
                <w:b/>
                <w:sz w:val="22"/>
                <w:vertAlign w:val="subscript"/>
                <w:lang w:val="en-GB"/>
              </w:rPr>
              <w:t>V</w:t>
            </w:r>
            <w:r w:rsidRPr="001E7605">
              <w:rPr>
                <w:rFonts w:ascii="Garamond" w:hAnsi="Garamond"/>
                <w:b/>
                <w:sz w:val="22"/>
                <w:lang w:val="en-GB"/>
              </w:rPr>
              <w:t>β2.1 currents</w:t>
            </w:r>
          </w:p>
        </w:tc>
      </w:tr>
      <w:tr w:rsidR="000B48C9" w:rsidRPr="001E7605" w14:paraId="6B20027A" w14:textId="77777777" w:rsidTr="00C82F48">
        <w:trPr>
          <w:trHeight w:val="224"/>
          <w:jc w:val="center"/>
        </w:trPr>
        <w:tc>
          <w:tcPr>
            <w:tcW w:w="1744" w:type="dxa"/>
            <w:tcBorders>
              <w:top w:val="double" w:sz="4" w:space="0" w:color="auto"/>
              <w:left w:val="single" w:sz="4" w:space="0" w:color="auto"/>
              <w:bottom w:val="single" w:sz="4" w:space="0" w:color="auto"/>
              <w:right w:val="single" w:sz="4" w:space="0" w:color="auto"/>
            </w:tcBorders>
            <w:vAlign w:val="center"/>
          </w:tcPr>
          <w:p w14:paraId="7807F67A"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K</w:t>
            </w:r>
            <w:r w:rsidRPr="001E7605">
              <w:rPr>
                <w:rFonts w:ascii="Garamond" w:hAnsi="Garamond"/>
                <w:sz w:val="22"/>
                <w:vertAlign w:val="subscript"/>
                <w:lang w:val="en-GB"/>
              </w:rPr>
              <w:t>V</w:t>
            </w:r>
            <w:r w:rsidRPr="001E7605">
              <w:rPr>
                <w:rFonts w:ascii="Garamond" w:hAnsi="Garamond"/>
                <w:sz w:val="22"/>
                <w:lang w:val="en-GB"/>
              </w:rPr>
              <w:t>1.5 IRES GFP</w:t>
            </w:r>
          </w:p>
        </w:tc>
        <w:tc>
          <w:tcPr>
            <w:tcW w:w="1747" w:type="dxa"/>
            <w:tcBorders>
              <w:top w:val="double" w:sz="4" w:space="0" w:color="auto"/>
              <w:left w:val="single" w:sz="4" w:space="0" w:color="auto"/>
              <w:bottom w:val="nil"/>
              <w:right w:val="single" w:sz="4" w:space="0" w:color="auto"/>
            </w:tcBorders>
            <w:vAlign w:val="center"/>
          </w:tcPr>
          <w:p w14:paraId="648793B7"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0.2</w:t>
            </w:r>
          </w:p>
        </w:tc>
        <w:tc>
          <w:tcPr>
            <w:tcW w:w="1748" w:type="dxa"/>
            <w:tcBorders>
              <w:top w:val="double" w:sz="4" w:space="0" w:color="auto"/>
              <w:left w:val="single" w:sz="4" w:space="0" w:color="auto"/>
              <w:bottom w:val="nil"/>
              <w:right w:val="single" w:sz="4" w:space="0" w:color="auto"/>
            </w:tcBorders>
            <w:vAlign w:val="center"/>
          </w:tcPr>
          <w:p w14:paraId="403AB4D0"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w:t>
            </w:r>
          </w:p>
        </w:tc>
        <w:tc>
          <w:tcPr>
            <w:tcW w:w="1748" w:type="dxa"/>
            <w:tcBorders>
              <w:top w:val="double" w:sz="4" w:space="0" w:color="auto"/>
              <w:left w:val="single" w:sz="4" w:space="0" w:color="auto"/>
              <w:bottom w:val="nil"/>
              <w:right w:val="single" w:sz="4" w:space="0" w:color="auto"/>
            </w:tcBorders>
            <w:vAlign w:val="center"/>
          </w:tcPr>
          <w:p w14:paraId="27376788"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0.1</w:t>
            </w:r>
          </w:p>
        </w:tc>
        <w:tc>
          <w:tcPr>
            <w:tcW w:w="1501" w:type="dxa"/>
            <w:tcBorders>
              <w:top w:val="double" w:sz="4" w:space="0" w:color="auto"/>
              <w:left w:val="single" w:sz="4" w:space="0" w:color="auto"/>
              <w:bottom w:val="nil"/>
              <w:right w:val="single" w:sz="4" w:space="0" w:color="auto"/>
            </w:tcBorders>
            <w:vAlign w:val="center"/>
          </w:tcPr>
          <w:p w14:paraId="138B8953"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w:t>
            </w:r>
          </w:p>
        </w:tc>
      </w:tr>
      <w:tr w:rsidR="000B48C9" w:rsidRPr="001E7605" w14:paraId="1C305CA1" w14:textId="77777777" w:rsidTr="00301F0B">
        <w:trPr>
          <w:trHeight w:val="240"/>
          <w:jc w:val="center"/>
        </w:trPr>
        <w:tc>
          <w:tcPr>
            <w:tcW w:w="1744" w:type="dxa"/>
            <w:tcBorders>
              <w:top w:val="single" w:sz="4" w:space="0" w:color="auto"/>
              <w:left w:val="single" w:sz="4" w:space="0" w:color="auto"/>
              <w:bottom w:val="single" w:sz="4" w:space="0" w:color="auto"/>
              <w:right w:val="single" w:sz="4" w:space="0" w:color="auto"/>
            </w:tcBorders>
            <w:vAlign w:val="center"/>
          </w:tcPr>
          <w:p w14:paraId="460BED8B"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K</w:t>
            </w:r>
            <w:r w:rsidRPr="001E7605">
              <w:rPr>
                <w:rFonts w:ascii="Garamond" w:hAnsi="Garamond"/>
                <w:sz w:val="22"/>
                <w:vertAlign w:val="subscript"/>
                <w:lang w:val="en-GB"/>
              </w:rPr>
              <w:t>V</w:t>
            </w:r>
            <w:r w:rsidRPr="001E7605">
              <w:rPr>
                <w:rFonts w:ascii="Garamond" w:hAnsi="Garamond"/>
                <w:sz w:val="22"/>
                <w:lang w:val="en-GB"/>
              </w:rPr>
              <w:t>1.5 IRES K</w:t>
            </w:r>
            <w:r w:rsidRPr="001E7605">
              <w:rPr>
                <w:rFonts w:ascii="Garamond" w:hAnsi="Garamond"/>
                <w:sz w:val="22"/>
                <w:vertAlign w:val="subscript"/>
                <w:lang w:val="en-GB"/>
              </w:rPr>
              <w:t>V</w:t>
            </w:r>
            <w:r w:rsidRPr="001E7605">
              <w:rPr>
                <w:rFonts w:ascii="Garamond" w:hAnsi="Garamond"/>
                <w:sz w:val="22"/>
                <w:lang w:val="en-GB"/>
              </w:rPr>
              <w:t>β1.3</w:t>
            </w:r>
          </w:p>
        </w:tc>
        <w:tc>
          <w:tcPr>
            <w:tcW w:w="1747" w:type="dxa"/>
            <w:tcBorders>
              <w:top w:val="nil"/>
              <w:left w:val="single" w:sz="4" w:space="0" w:color="auto"/>
              <w:bottom w:val="nil"/>
              <w:right w:val="single" w:sz="4" w:space="0" w:color="auto"/>
            </w:tcBorders>
            <w:vAlign w:val="center"/>
          </w:tcPr>
          <w:p w14:paraId="52A4C4A3"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w:t>
            </w:r>
          </w:p>
        </w:tc>
        <w:tc>
          <w:tcPr>
            <w:tcW w:w="1748" w:type="dxa"/>
            <w:tcBorders>
              <w:top w:val="nil"/>
              <w:left w:val="single" w:sz="4" w:space="0" w:color="auto"/>
              <w:bottom w:val="nil"/>
              <w:right w:val="single" w:sz="4" w:space="0" w:color="auto"/>
            </w:tcBorders>
            <w:vAlign w:val="center"/>
          </w:tcPr>
          <w:p w14:paraId="16188493"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2</w:t>
            </w:r>
          </w:p>
        </w:tc>
        <w:tc>
          <w:tcPr>
            <w:tcW w:w="1748" w:type="dxa"/>
            <w:tcBorders>
              <w:top w:val="nil"/>
              <w:left w:val="single" w:sz="4" w:space="0" w:color="auto"/>
              <w:bottom w:val="nil"/>
              <w:right w:val="single" w:sz="4" w:space="0" w:color="auto"/>
            </w:tcBorders>
            <w:vAlign w:val="center"/>
          </w:tcPr>
          <w:p w14:paraId="45A2A955"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w:t>
            </w:r>
          </w:p>
        </w:tc>
        <w:tc>
          <w:tcPr>
            <w:tcW w:w="1501" w:type="dxa"/>
            <w:tcBorders>
              <w:top w:val="nil"/>
              <w:left w:val="single" w:sz="4" w:space="0" w:color="auto"/>
              <w:bottom w:val="nil"/>
              <w:right w:val="single" w:sz="4" w:space="0" w:color="auto"/>
            </w:tcBorders>
            <w:vAlign w:val="center"/>
          </w:tcPr>
          <w:p w14:paraId="0C4708FC"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w:t>
            </w:r>
          </w:p>
        </w:tc>
      </w:tr>
      <w:tr w:rsidR="000B48C9" w:rsidRPr="001E7605" w14:paraId="7D472AE3" w14:textId="77777777" w:rsidTr="00301F0B">
        <w:trPr>
          <w:trHeight w:val="240"/>
          <w:jc w:val="center"/>
        </w:trPr>
        <w:tc>
          <w:tcPr>
            <w:tcW w:w="1744" w:type="dxa"/>
            <w:tcBorders>
              <w:top w:val="single" w:sz="4" w:space="0" w:color="auto"/>
              <w:left w:val="single" w:sz="4" w:space="0" w:color="auto"/>
              <w:bottom w:val="single" w:sz="4" w:space="0" w:color="auto"/>
              <w:right w:val="single" w:sz="4" w:space="0" w:color="auto"/>
            </w:tcBorders>
            <w:vAlign w:val="center"/>
          </w:tcPr>
          <w:p w14:paraId="065E3EFE"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K</w:t>
            </w:r>
            <w:r w:rsidRPr="001E7605">
              <w:rPr>
                <w:rFonts w:ascii="Garamond" w:hAnsi="Garamond"/>
                <w:sz w:val="22"/>
                <w:vertAlign w:val="subscript"/>
                <w:lang w:val="en-GB"/>
              </w:rPr>
              <w:t>V</w:t>
            </w:r>
            <w:r w:rsidRPr="001E7605">
              <w:rPr>
                <w:rFonts w:ascii="Garamond" w:hAnsi="Garamond"/>
                <w:sz w:val="22"/>
                <w:lang w:val="en-GB"/>
              </w:rPr>
              <w:t>β1.2</w:t>
            </w:r>
          </w:p>
        </w:tc>
        <w:tc>
          <w:tcPr>
            <w:tcW w:w="1747" w:type="dxa"/>
            <w:tcBorders>
              <w:top w:val="nil"/>
              <w:left w:val="single" w:sz="4" w:space="0" w:color="auto"/>
              <w:bottom w:val="nil"/>
              <w:right w:val="single" w:sz="4" w:space="0" w:color="auto"/>
            </w:tcBorders>
            <w:vAlign w:val="center"/>
          </w:tcPr>
          <w:p w14:paraId="68A35A15"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w:t>
            </w:r>
          </w:p>
        </w:tc>
        <w:tc>
          <w:tcPr>
            <w:tcW w:w="1748" w:type="dxa"/>
            <w:tcBorders>
              <w:top w:val="nil"/>
              <w:left w:val="single" w:sz="4" w:space="0" w:color="auto"/>
              <w:bottom w:val="nil"/>
              <w:right w:val="single" w:sz="4" w:space="0" w:color="auto"/>
            </w:tcBorders>
            <w:vAlign w:val="center"/>
          </w:tcPr>
          <w:p w14:paraId="5DC3C03A"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w:t>
            </w:r>
          </w:p>
        </w:tc>
        <w:tc>
          <w:tcPr>
            <w:tcW w:w="1748" w:type="dxa"/>
            <w:tcBorders>
              <w:top w:val="nil"/>
              <w:left w:val="single" w:sz="4" w:space="0" w:color="auto"/>
              <w:bottom w:val="nil"/>
              <w:right w:val="single" w:sz="4" w:space="0" w:color="auto"/>
            </w:tcBorders>
            <w:vAlign w:val="center"/>
          </w:tcPr>
          <w:p w14:paraId="39B260CA"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2</w:t>
            </w:r>
          </w:p>
        </w:tc>
        <w:tc>
          <w:tcPr>
            <w:tcW w:w="1501" w:type="dxa"/>
            <w:tcBorders>
              <w:top w:val="nil"/>
              <w:left w:val="single" w:sz="4" w:space="0" w:color="auto"/>
              <w:bottom w:val="nil"/>
              <w:right w:val="single" w:sz="4" w:space="0" w:color="auto"/>
            </w:tcBorders>
            <w:vAlign w:val="center"/>
          </w:tcPr>
          <w:p w14:paraId="0B37F88F"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w:t>
            </w:r>
          </w:p>
        </w:tc>
      </w:tr>
      <w:tr w:rsidR="000B48C9" w:rsidRPr="001E7605" w14:paraId="325795ED" w14:textId="77777777" w:rsidTr="00301F0B">
        <w:trPr>
          <w:trHeight w:val="706"/>
          <w:jc w:val="center"/>
        </w:trPr>
        <w:tc>
          <w:tcPr>
            <w:tcW w:w="1744" w:type="dxa"/>
            <w:tcBorders>
              <w:top w:val="single" w:sz="4" w:space="0" w:color="auto"/>
              <w:left w:val="single" w:sz="4" w:space="0" w:color="auto"/>
              <w:bottom w:val="single" w:sz="4" w:space="0" w:color="auto"/>
              <w:right w:val="single" w:sz="4" w:space="0" w:color="auto"/>
            </w:tcBorders>
            <w:vAlign w:val="center"/>
          </w:tcPr>
          <w:p w14:paraId="2E45355C"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 xml:space="preserve">Empty, Lgi3 or Lgi4 IRES </w:t>
            </w:r>
            <w:proofErr w:type="spellStart"/>
            <w:r w:rsidRPr="001E7605">
              <w:rPr>
                <w:rFonts w:ascii="Garamond" w:hAnsi="Garamond"/>
                <w:sz w:val="22"/>
                <w:lang w:val="en-GB"/>
              </w:rPr>
              <w:t>mCherry</w:t>
            </w:r>
            <w:proofErr w:type="spellEnd"/>
          </w:p>
        </w:tc>
        <w:tc>
          <w:tcPr>
            <w:tcW w:w="1747" w:type="dxa"/>
            <w:tcBorders>
              <w:top w:val="nil"/>
              <w:left w:val="single" w:sz="4" w:space="0" w:color="auto"/>
              <w:bottom w:val="single" w:sz="4" w:space="0" w:color="auto"/>
              <w:right w:val="single" w:sz="4" w:space="0" w:color="auto"/>
            </w:tcBorders>
            <w:vAlign w:val="center"/>
          </w:tcPr>
          <w:p w14:paraId="301CDDAB"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2</w:t>
            </w:r>
          </w:p>
        </w:tc>
        <w:tc>
          <w:tcPr>
            <w:tcW w:w="1748" w:type="dxa"/>
            <w:tcBorders>
              <w:top w:val="nil"/>
              <w:left w:val="single" w:sz="4" w:space="0" w:color="auto"/>
              <w:bottom w:val="single" w:sz="4" w:space="0" w:color="auto"/>
              <w:right w:val="single" w:sz="4" w:space="0" w:color="auto"/>
            </w:tcBorders>
            <w:vAlign w:val="center"/>
          </w:tcPr>
          <w:p w14:paraId="5E70BB64"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2</w:t>
            </w:r>
          </w:p>
        </w:tc>
        <w:tc>
          <w:tcPr>
            <w:tcW w:w="1748" w:type="dxa"/>
            <w:tcBorders>
              <w:top w:val="nil"/>
              <w:left w:val="single" w:sz="4" w:space="0" w:color="auto"/>
              <w:bottom w:val="single" w:sz="4" w:space="0" w:color="auto"/>
              <w:right w:val="single" w:sz="4" w:space="0" w:color="auto"/>
            </w:tcBorders>
            <w:vAlign w:val="center"/>
          </w:tcPr>
          <w:p w14:paraId="25D1D61A"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2</w:t>
            </w:r>
          </w:p>
        </w:tc>
        <w:tc>
          <w:tcPr>
            <w:tcW w:w="1501" w:type="dxa"/>
            <w:tcBorders>
              <w:top w:val="nil"/>
              <w:left w:val="single" w:sz="4" w:space="0" w:color="auto"/>
              <w:bottom w:val="single" w:sz="4" w:space="0" w:color="auto"/>
              <w:right w:val="single" w:sz="4" w:space="0" w:color="auto"/>
            </w:tcBorders>
            <w:vAlign w:val="center"/>
          </w:tcPr>
          <w:p w14:paraId="7E0F7710"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2</w:t>
            </w:r>
          </w:p>
        </w:tc>
      </w:tr>
    </w:tbl>
    <w:p w14:paraId="651F7B57" w14:textId="4F4B23A0" w:rsidR="000B48C9" w:rsidRPr="001E7605" w:rsidRDefault="000B48C9">
      <w:pPr>
        <w:pStyle w:val="TextoTesis"/>
      </w:pPr>
      <w:r w:rsidRPr="001E7605">
        <w:t>For K</w:t>
      </w:r>
      <w:r w:rsidRPr="001E7605">
        <w:rPr>
          <w:vertAlign w:val="subscript"/>
        </w:rPr>
        <w:t>V</w:t>
      </w:r>
      <w:r w:rsidRPr="001E7605">
        <w:t>4.3 and K</w:t>
      </w:r>
      <w:r w:rsidRPr="001E7605">
        <w:rPr>
          <w:vertAlign w:val="subscript"/>
        </w:rPr>
        <w:t>V</w:t>
      </w:r>
      <w:r w:rsidRPr="001E7605">
        <w:t xml:space="preserve">4.2 current recordings, CHO cells were plated in 60 mm culture dishes (Falcon) with 4 ml of complete </w:t>
      </w:r>
      <w:proofErr w:type="spellStart"/>
      <w:r w:rsidRPr="001E7605">
        <w:t>Iscove</w:t>
      </w:r>
      <w:proofErr w:type="spellEnd"/>
      <w:r w:rsidRPr="001E7605">
        <w:t>. Cells were transfected at 60% confluence with 2 µg of K</w:t>
      </w:r>
      <w:r w:rsidRPr="001E7605">
        <w:rPr>
          <w:vertAlign w:val="subscript"/>
        </w:rPr>
        <w:t>V</w:t>
      </w:r>
      <w:r w:rsidRPr="001E7605">
        <w:t xml:space="preserve">4.3 </w:t>
      </w:r>
      <w:proofErr w:type="spellStart"/>
      <w:r w:rsidRPr="001E7605">
        <w:t>pBK</w:t>
      </w:r>
      <w:proofErr w:type="spellEnd"/>
      <w:r w:rsidRPr="001E7605">
        <w:t xml:space="preserve"> or K</w:t>
      </w:r>
      <w:r w:rsidRPr="001E7605">
        <w:rPr>
          <w:vertAlign w:val="subscript"/>
        </w:rPr>
        <w:t>V</w:t>
      </w:r>
      <w:r w:rsidRPr="001E7605">
        <w:t xml:space="preserve">4.2 GFP and 2 µg of empty IRES </w:t>
      </w:r>
      <w:proofErr w:type="spellStart"/>
      <w:r w:rsidRPr="001E7605">
        <w:t>mCherry</w:t>
      </w:r>
      <w:proofErr w:type="spellEnd"/>
      <w:r w:rsidRPr="001E7605">
        <w:t xml:space="preserve">, Lgi3 IRES </w:t>
      </w:r>
      <w:proofErr w:type="spellStart"/>
      <w:r w:rsidRPr="001E7605">
        <w:t>mCherry</w:t>
      </w:r>
      <w:proofErr w:type="spellEnd"/>
      <w:r w:rsidRPr="001E7605">
        <w:t xml:space="preserve"> or Lgi4 IRES </w:t>
      </w:r>
      <w:proofErr w:type="spellStart"/>
      <w:r w:rsidRPr="001E7605">
        <w:t>mCherry</w:t>
      </w:r>
      <w:proofErr w:type="spellEnd"/>
      <w:r w:rsidRPr="001E7605">
        <w:t xml:space="preserve"> </w:t>
      </w:r>
      <w:r w:rsidRPr="001E7605">
        <w:lastRenderedPageBreak/>
        <w:t xml:space="preserve">using </w:t>
      </w:r>
      <w:proofErr w:type="spellStart"/>
      <w:r w:rsidRPr="001E7605">
        <w:t>Fugene</w:t>
      </w:r>
      <w:proofErr w:type="spellEnd"/>
      <w:r w:rsidR="00F00478" w:rsidRPr="001E7605">
        <w:t>®</w:t>
      </w:r>
      <w:r w:rsidRPr="001E7605">
        <w:t xml:space="preserve"> following manufacturer instructions. </w:t>
      </w:r>
      <w:proofErr w:type="spellStart"/>
      <w:r w:rsidR="00B47094" w:rsidRPr="001E7605">
        <w:t>Fugene</w:t>
      </w:r>
      <w:proofErr w:type="spellEnd"/>
      <w:r w:rsidRPr="001E7605">
        <w:t>® Reagent was used in 1:3</w:t>
      </w:r>
      <w:r w:rsidR="000409C0" w:rsidRPr="001E7605">
        <w:t xml:space="preserve"> (µg:µl) </w:t>
      </w:r>
      <w:r w:rsidRPr="001E7605">
        <w:t xml:space="preserve"> ratio and in a volume of transfection mix of 200 µl.</w:t>
      </w:r>
    </w:p>
    <w:p w14:paraId="72167EAE" w14:textId="77777777" w:rsidR="00B670E7" w:rsidRPr="001E7605" w:rsidRDefault="00B670E7" w:rsidP="00FF720A">
      <w:pPr>
        <w:pStyle w:val="Ttulo3Tesis"/>
      </w:pPr>
      <w:bookmarkStart w:id="16" w:name="_Toc145663644"/>
    </w:p>
    <w:p w14:paraId="03CB9512" w14:textId="3C7B635B" w:rsidR="000B48C9" w:rsidRPr="001E7605" w:rsidRDefault="000B48C9" w:rsidP="00FF720A">
      <w:pPr>
        <w:pStyle w:val="Ttulo3Tesis"/>
      </w:pPr>
      <w:r w:rsidRPr="001E7605">
        <w:t>Solutions for electrophysiology experiments</w:t>
      </w:r>
      <w:bookmarkEnd w:id="16"/>
    </w:p>
    <w:p w14:paraId="4A8103A8" w14:textId="50360D02" w:rsidR="00F150C7" w:rsidRPr="001E7605" w:rsidRDefault="00F150C7">
      <w:pPr>
        <w:pStyle w:val="TextoTesis"/>
      </w:pPr>
      <w:r w:rsidRPr="001E7605">
        <w:t xml:space="preserve">The composition of the internal and external solutions used in HEK293, </w:t>
      </w:r>
      <w:proofErr w:type="spellStart"/>
      <w:r w:rsidRPr="001E7605">
        <w:rPr>
          <w:i/>
        </w:rPr>
        <w:t>Ltk</w:t>
      </w:r>
      <w:proofErr w:type="spellEnd"/>
      <w:r w:rsidRPr="001E7605">
        <w:rPr>
          <w:i/>
          <w:vertAlign w:val="superscript"/>
        </w:rPr>
        <w:t>-</w:t>
      </w:r>
      <w:r w:rsidRPr="001E7605">
        <w:t xml:space="preserve"> and CHO cells are shown in Table 4.</w:t>
      </w:r>
    </w:p>
    <w:p w14:paraId="72F51EEC" w14:textId="76771C47" w:rsidR="000B48C9" w:rsidRPr="001E7605" w:rsidRDefault="000B48C9" w:rsidP="00B47094">
      <w:pPr>
        <w:pStyle w:val="Heading1"/>
        <w:rPr>
          <w:rStyle w:val="SubtleEmphasis"/>
          <w:lang w:val="en-GB"/>
        </w:rPr>
      </w:pPr>
      <w:bookmarkStart w:id="17" w:name="_Toc145605323"/>
      <w:r w:rsidRPr="001E7605">
        <w:rPr>
          <w:rStyle w:val="SubtleEmphasis"/>
          <w:lang w:val="en-GB"/>
        </w:rPr>
        <w:t xml:space="preserve">Table </w:t>
      </w:r>
      <w:r w:rsidR="00F00478" w:rsidRPr="001E7605">
        <w:rPr>
          <w:rStyle w:val="SubtleEmphasis"/>
          <w:lang w:val="en-GB"/>
        </w:rPr>
        <w:t>4</w:t>
      </w:r>
      <w:r w:rsidRPr="001E7605">
        <w:rPr>
          <w:rStyle w:val="SubtleEmphasis"/>
          <w:lang w:val="en-GB"/>
        </w:rPr>
        <w:t>. Internal and external solutions used for patch-clamp recording in cell lines.</w:t>
      </w:r>
      <w:bookmarkEnd w:id="17"/>
    </w:p>
    <w:tbl>
      <w:tblPr>
        <w:tblStyle w:val="ListTable3"/>
        <w:tblW w:w="0" w:type="auto"/>
        <w:tblLook w:val="04A0" w:firstRow="1" w:lastRow="0" w:firstColumn="1" w:lastColumn="0" w:noHBand="0" w:noVBand="1"/>
      </w:tblPr>
      <w:tblGrid>
        <w:gridCol w:w="2342"/>
        <w:gridCol w:w="2202"/>
        <w:gridCol w:w="2258"/>
        <w:gridCol w:w="2214"/>
      </w:tblGrid>
      <w:tr w:rsidR="000B48C9" w:rsidRPr="001E7605" w14:paraId="32C6FA87" w14:textId="77777777" w:rsidTr="00C82F48">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0" w:type="dxa"/>
            <w:gridSpan w:val="2"/>
            <w:tcBorders>
              <w:top w:val="single" w:sz="4" w:space="0" w:color="auto"/>
              <w:left w:val="single" w:sz="4" w:space="0" w:color="auto"/>
              <w:bottom w:val="double" w:sz="4" w:space="0" w:color="auto"/>
              <w:right w:val="single" w:sz="4" w:space="0" w:color="auto"/>
            </w:tcBorders>
            <w:shd w:val="clear" w:color="auto" w:fill="F2F2F2" w:themeFill="background1" w:themeFillShade="F2"/>
          </w:tcPr>
          <w:p w14:paraId="40B02DAF" w14:textId="77777777" w:rsidR="000B48C9" w:rsidRPr="001E7605" w:rsidRDefault="000B48C9" w:rsidP="0082688A">
            <w:pPr>
              <w:spacing w:line="276" w:lineRule="auto"/>
              <w:jc w:val="center"/>
              <w:rPr>
                <w:rFonts w:ascii="Garamond" w:hAnsi="Garamond"/>
                <w:color w:val="000000" w:themeColor="text1"/>
                <w:sz w:val="22"/>
                <w:lang w:val="en-GB"/>
              </w:rPr>
            </w:pPr>
            <w:bookmarkStart w:id="18" w:name="_Hlk110846228"/>
            <w:r w:rsidRPr="001E7605">
              <w:rPr>
                <w:rFonts w:ascii="Garamond" w:hAnsi="Garamond"/>
                <w:color w:val="000000" w:themeColor="text1"/>
                <w:sz w:val="22"/>
                <w:lang w:val="en-GB"/>
              </w:rPr>
              <w:t>Internal solution (mM)</w:t>
            </w:r>
          </w:p>
        </w:tc>
        <w:tc>
          <w:tcPr>
            <w:tcW w:w="0" w:type="dxa"/>
            <w:gridSpan w:val="2"/>
            <w:tcBorders>
              <w:top w:val="single" w:sz="4" w:space="0" w:color="auto"/>
              <w:left w:val="single" w:sz="4" w:space="0" w:color="auto"/>
              <w:bottom w:val="double" w:sz="4" w:space="0" w:color="auto"/>
              <w:right w:val="single" w:sz="4" w:space="0" w:color="auto"/>
            </w:tcBorders>
            <w:shd w:val="clear" w:color="auto" w:fill="F2F2F2" w:themeFill="background1" w:themeFillShade="F2"/>
          </w:tcPr>
          <w:p w14:paraId="41D5666B" w14:textId="77777777" w:rsidR="000B48C9" w:rsidRPr="001E7605" w:rsidRDefault="000B48C9" w:rsidP="0082688A">
            <w:pPr>
              <w:spacing w:line="276"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olor w:val="000000" w:themeColor="text1"/>
                <w:sz w:val="22"/>
                <w:lang w:val="en-GB"/>
              </w:rPr>
            </w:pPr>
            <w:r w:rsidRPr="001E7605">
              <w:rPr>
                <w:rFonts w:ascii="Garamond" w:hAnsi="Garamond"/>
                <w:color w:val="000000" w:themeColor="text1"/>
                <w:sz w:val="22"/>
                <w:lang w:val="en-GB"/>
              </w:rPr>
              <w:t>External solution (mM)</w:t>
            </w:r>
          </w:p>
        </w:tc>
      </w:tr>
      <w:tr w:rsidR="000B48C9" w:rsidRPr="001E7605" w14:paraId="5656B23D" w14:textId="77777777" w:rsidTr="00C82F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32" w:type="dxa"/>
            <w:tcBorders>
              <w:top w:val="double" w:sz="4" w:space="0" w:color="auto"/>
              <w:left w:val="single" w:sz="4" w:space="0" w:color="auto"/>
              <w:bottom w:val="nil"/>
            </w:tcBorders>
          </w:tcPr>
          <w:p w14:paraId="1685D6DA" w14:textId="77777777"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K-Aspartate</w:t>
            </w:r>
          </w:p>
        </w:tc>
        <w:tc>
          <w:tcPr>
            <w:tcW w:w="2433" w:type="dxa"/>
            <w:tcBorders>
              <w:top w:val="double" w:sz="4" w:space="0" w:color="auto"/>
              <w:bottom w:val="nil"/>
              <w:right w:val="single" w:sz="4" w:space="0" w:color="auto"/>
            </w:tcBorders>
          </w:tcPr>
          <w:p w14:paraId="27901973"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80</w:t>
            </w:r>
          </w:p>
        </w:tc>
        <w:tc>
          <w:tcPr>
            <w:tcW w:w="2432" w:type="dxa"/>
            <w:tcBorders>
              <w:top w:val="double" w:sz="4" w:space="0" w:color="auto"/>
              <w:left w:val="single" w:sz="4" w:space="0" w:color="auto"/>
              <w:bottom w:val="nil"/>
              <w:right w:val="nil"/>
            </w:tcBorders>
          </w:tcPr>
          <w:p w14:paraId="5E2D29B7"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NaCl</w:t>
            </w:r>
          </w:p>
        </w:tc>
        <w:tc>
          <w:tcPr>
            <w:tcW w:w="2433" w:type="dxa"/>
            <w:tcBorders>
              <w:top w:val="double" w:sz="4" w:space="0" w:color="auto"/>
              <w:left w:val="nil"/>
              <w:bottom w:val="nil"/>
              <w:right w:val="single" w:sz="4" w:space="0" w:color="auto"/>
            </w:tcBorders>
          </w:tcPr>
          <w:p w14:paraId="05A642A0"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145</w:t>
            </w:r>
          </w:p>
        </w:tc>
      </w:tr>
      <w:tr w:rsidR="000B48C9" w:rsidRPr="001E7605" w14:paraId="1C0F534B" w14:textId="77777777" w:rsidTr="00301F0B">
        <w:trPr>
          <w:trHeight w:val="255"/>
        </w:trPr>
        <w:tc>
          <w:tcPr>
            <w:cnfStyle w:val="001000000000" w:firstRow="0" w:lastRow="0" w:firstColumn="1" w:lastColumn="0" w:oddVBand="0" w:evenVBand="0" w:oddHBand="0" w:evenHBand="0" w:firstRowFirstColumn="0" w:firstRowLastColumn="0" w:lastRowFirstColumn="0" w:lastRowLastColumn="0"/>
            <w:tcW w:w="2432" w:type="dxa"/>
            <w:tcBorders>
              <w:top w:val="nil"/>
              <w:left w:val="single" w:sz="4" w:space="0" w:color="auto"/>
              <w:bottom w:val="nil"/>
            </w:tcBorders>
          </w:tcPr>
          <w:p w14:paraId="5700BE40" w14:textId="77777777"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KCl</w:t>
            </w:r>
          </w:p>
        </w:tc>
        <w:tc>
          <w:tcPr>
            <w:tcW w:w="2433" w:type="dxa"/>
            <w:tcBorders>
              <w:top w:val="nil"/>
              <w:bottom w:val="nil"/>
              <w:right w:val="single" w:sz="4" w:space="0" w:color="auto"/>
            </w:tcBorders>
          </w:tcPr>
          <w:p w14:paraId="528F9343"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42</w:t>
            </w:r>
          </w:p>
        </w:tc>
        <w:tc>
          <w:tcPr>
            <w:tcW w:w="2432" w:type="dxa"/>
            <w:tcBorders>
              <w:top w:val="nil"/>
              <w:left w:val="single" w:sz="4" w:space="0" w:color="auto"/>
              <w:bottom w:val="nil"/>
              <w:right w:val="nil"/>
            </w:tcBorders>
          </w:tcPr>
          <w:p w14:paraId="69114E66"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KCl</w:t>
            </w:r>
          </w:p>
        </w:tc>
        <w:tc>
          <w:tcPr>
            <w:tcW w:w="2433" w:type="dxa"/>
            <w:tcBorders>
              <w:top w:val="nil"/>
              <w:left w:val="nil"/>
              <w:bottom w:val="nil"/>
              <w:right w:val="single" w:sz="4" w:space="0" w:color="auto"/>
            </w:tcBorders>
          </w:tcPr>
          <w:p w14:paraId="57F98FD2"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4</w:t>
            </w:r>
          </w:p>
        </w:tc>
      </w:tr>
      <w:tr w:rsidR="000B48C9" w:rsidRPr="001E7605" w14:paraId="5F3095DF" w14:textId="77777777" w:rsidTr="00301F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32" w:type="dxa"/>
            <w:tcBorders>
              <w:top w:val="nil"/>
              <w:left w:val="single" w:sz="4" w:space="0" w:color="auto"/>
              <w:bottom w:val="nil"/>
            </w:tcBorders>
          </w:tcPr>
          <w:p w14:paraId="12FB1C38" w14:textId="77777777"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Phosphocreatine</w:t>
            </w:r>
          </w:p>
        </w:tc>
        <w:tc>
          <w:tcPr>
            <w:tcW w:w="2433" w:type="dxa"/>
            <w:tcBorders>
              <w:top w:val="nil"/>
              <w:bottom w:val="nil"/>
              <w:right w:val="single" w:sz="4" w:space="0" w:color="auto"/>
            </w:tcBorders>
          </w:tcPr>
          <w:p w14:paraId="46765E1F"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3</w:t>
            </w:r>
          </w:p>
        </w:tc>
        <w:tc>
          <w:tcPr>
            <w:tcW w:w="2432" w:type="dxa"/>
            <w:tcBorders>
              <w:top w:val="nil"/>
              <w:left w:val="single" w:sz="4" w:space="0" w:color="auto"/>
              <w:bottom w:val="nil"/>
              <w:right w:val="nil"/>
            </w:tcBorders>
          </w:tcPr>
          <w:p w14:paraId="46059391"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CaCl</w:t>
            </w:r>
            <w:r w:rsidRPr="001E7605">
              <w:rPr>
                <w:rFonts w:ascii="Garamond" w:hAnsi="Garamond"/>
                <w:sz w:val="22"/>
                <w:vertAlign w:val="subscript"/>
                <w:lang w:val="en-GB"/>
              </w:rPr>
              <w:t>2</w:t>
            </w:r>
          </w:p>
        </w:tc>
        <w:tc>
          <w:tcPr>
            <w:tcW w:w="2433" w:type="dxa"/>
            <w:tcBorders>
              <w:top w:val="nil"/>
              <w:left w:val="nil"/>
              <w:bottom w:val="nil"/>
              <w:right w:val="single" w:sz="4" w:space="0" w:color="auto"/>
            </w:tcBorders>
          </w:tcPr>
          <w:p w14:paraId="5EFB0661"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1.8</w:t>
            </w:r>
          </w:p>
        </w:tc>
      </w:tr>
      <w:tr w:rsidR="000B48C9" w:rsidRPr="001E7605" w14:paraId="7105AE9B" w14:textId="77777777" w:rsidTr="00301F0B">
        <w:trPr>
          <w:trHeight w:val="255"/>
        </w:trPr>
        <w:tc>
          <w:tcPr>
            <w:cnfStyle w:val="001000000000" w:firstRow="0" w:lastRow="0" w:firstColumn="1" w:lastColumn="0" w:oddVBand="0" w:evenVBand="0" w:oddHBand="0" w:evenHBand="0" w:firstRowFirstColumn="0" w:firstRowLastColumn="0" w:lastRowFirstColumn="0" w:lastRowLastColumn="0"/>
            <w:tcW w:w="2432" w:type="dxa"/>
            <w:tcBorders>
              <w:top w:val="nil"/>
              <w:left w:val="single" w:sz="4" w:space="0" w:color="auto"/>
              <w:bottom w:val="nil"/>
            </w:tcBorders>
          </w:tcPr>
          <w:p w14:paraId="65F275A9" w14:textId="77777777"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KH</w:t>
            </w:r>
            <w:r w:rsidRPr="001E7605">
              <w:rPr>
                <w:rFonts w:ascii="Garamond" w:hAnsi="Garamond"/>
                <w:b w:val="0"/>
                <w:sz w:val="22"/>
                <w:vertAlign w:val="subscript"/>
                <w:lang w:val="en-GB"/>
              </w:rPr>
              <w:t>2</w:t>
            </w:r>
            <w:r w:rsidRPr="001E7605">
              <w:rPr>
                <w:rFonts w:ascii="Garamond" w:hAnsi="Garamond"/>
                <w:b w:val="0"/>
                <w:sz w:val="22"/>
                <w:lang w:val="en-GB"/>
              </w:rPr>
              <w:t>PO</w:t>
            </w:r>
            <w:r w:rsidRPr="001E7605">
              <w:rPr>
                <w:rFonts w:ascii="Garamond" w:hAnsi="Garamond"/>
                <w:b w:val="0"/>
                <w:sz w:val="22"/>
                <w:vertAlign w:val="subscript"/>
                <w:lang w:val="en-GB"/>
              </w:rPr>
              <w:t>4</w:t>
            </w:r>
          </w:p>
        </w:tc>
        <w:tc>
          <w:tcPr>
            <w:tcW w:w="2433" w:type="dxa"/>
            <w:tcBorders>
              <w:top w:val="nil"/>
              <w:bottom w:val="nil"/>
              <w:right w:val="single" w:sz="4" w:space="0" w:color="auto"/>
            </w:tcBorders>
          </w:tcPr>
          <w:p w14:paraId="2198B295"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10</w:t>
            </w:r>
          </w:p>
        </w:tc>
        <w:tc>
          <w:tcPr>
            <w:tcW w:w="2432" w:type="dxa"/>
            <w:tcBorders>
              <w:top w:val="nil"/>
              <w:left w:val="single" w:sz="4" w:space="0" w:color="auto"/>
              <w:bottom w:val="nil"/>
              <w:right w:val="nil"/>
            </w:tcBorders>
          </w:tcPr>
          <w:p w14:paraId="7A07BDF7"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MgCl</w:t>
            </w:r>
            <w:r w:rsidRPr="001E7605">
              <w:rPr>
                <w:rFonts w:ascii="Garamond" w:hAnsi="Garamond"/>
                <w:sz w:val="22"/>
                <w:vertAlign w:val="subscript"/>
                <w:lang w:val="en-GB"/>
              </w:rPr>
              <w:t>2</w:t>
            </w:r>
          </w:p>
        </w:tc>
        <w:tc>
          <w:tcPr>
            <w:tcW w:w="2433" w:type="dxa"/>
            <w:tcBorders>
              <w:top w:val="nil"/>
              <w:left w:val="nil"/>
              <w:bottom w:val="nil"/>
              <w:right w:val="single" w:sz="4" w:space="0" w:color="auto"/>
            </w:tcBorders>
          </w:tcPr>
          <w:p w14:paraId="160FA3A5"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1</w:t>
            </w:r>
          </w:p>
        </w:tc>
      </w:tr>
      <w:tr w:rsidR="000B48C9" w:rsidRPr="001E7605" w14:paraId="106C640B" w14:textId="77777777" w:rsidTr="00301F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32" w:type="dxa"/>
            <w:tcBorders>
              <w:top w:val="nil"/>
              <w:left w:val="single" w:sz="4" w:space="0" w:color="auto"/>
              <w:bottom w:val="nil"/>
            </w:tcBorders>
          </w:tcPr>
          <w:p w14:paraId="02085CF5" w14:textId="77777777"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Mg-ATP</w:t>
            </w:r>
          </w:p>
        </w:tc>
        <w:tc>
          <w:tcPr>
            <w:tcW w:w="2433" w:type="dxa"/>
            <w:tcBorders>
              <w:top w:val="nil"/>
              <w:bottom w:val="nil"/>
              <w:right w:val="single" w:sz="4" w:space="0" w:color="auto"/>
            </w:tcBorders>
          </w:tcPr>
          <w:p w14:paraId="15E2E52B"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3</w:t>
            </w:r>
          </w:p>
        </w:tc>
        <w:tc>
          <w:tcPr>
            <w:tcW w:w="2432" w:type="dxa"/>
            <w:tcBorders>
              <w:top w:val="nil"/>
              <w:left w:val="single" w:sz="4" w:space="0" w:color="auto"/>
              <w:bottom w:val="nil"/>
              <w:right w:val="nil"/>
            </w:tcBorders>
          </w:tcPr>
          <w:p w14:paraId="3C7E6503" w14:textId="4DB04094"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HEPES</w:t>
            </w:r>
          </w:p>
        </w:tc>
        <w:tc>
          <w:tcPr>
            <w:tcW w:w="2433" w:type="dxa"/>
            <w:tcBorders>
              <w:top w:val="nil"/>
              <w:left w:val="nil"/>
              <w:bottom w:val="nil"/>
              <w:right w:val="single" w:sz="4" w:space="0" w:color="auto"/>
            </w:tcBorders>
          </w:tcPr>
          <w:p w14:paraId="57F5EC05"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10</w:t>
            </w:r>
          </w:p>
        </w:tc>
      </w:tr>
      <w:tr w:rsidR="000B48C9" w:rsidRPr="001E7605" w14:paraId="4D70CF92" w14:textId="77777777" w:rsidTr="00301F0B">
        <w:trPr>
          <w:trHeight w:val="255"/>
        </w:trPr>
        <w:tc>
          <w:tcPr>
            <w:cnfStyle w:val="001000000000" w:firstRow="0" w:lastRow="0" w:firstColumn="1" w:lastColumn="0" w:oddVBand="0" w:evenVBand="0" w:oddHBand="0" w:evenHBand="0" w:firstRowFirstColumn="0" w:firstRowLastColumn="0" w:lastRowFirstColumn="0" w:lastRowLastColumn="0"/>
            <w:tcW w:w="2432" w:type="dxa"/>
            <w:tcBorders>
              <w:top w:val="nil"/>
              <w:left w:val="single" w:sz="4" w:space="0" w:color="auto"/>
              <w:bottom w:val="nil"/>
            </w:tcBorders>
          </w:tcPr>
          <w:p w14:paraId="2946C6E0" w14:textId="7B4D029A"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HEPES</w:t>
            </w:r>
          </w:p>
        </w:tc>
        <w:tc>
          <w:tcPr>
            <w:tcW w:w="2433" w:type="dxa"/>
            <w:tcBorders>
              <w:top w:val="nil"/>
              <w:bottom w:val="nil"/>
              <w:right w:val="single" w:sz="4" w:space="0" w:color="auto"/>
            </w:tcBorders>
          </w:tcPr>
          <w:p w14:paraId="1B4840CA"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5</w:t>
            </w:r>
          </w:p>
        </w:tc>
        <w:tc>
          <w:tcPr>
            <w:tcW w:w="2432" w:type="dxa"/>
            <w:tcBorders>
              <w:top w:val="nil"/>
              <w:left w:val="single" w:sz="4" w:space="0" w:color="auto"/>
              <w:bottom w:val="nil"/>
              <w:right w:val="nil"/>
            </w:tcBorders>
          </w:tcPr>
          <w:p w14:paraId="3DEA4ED0"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Glucose</w:t>
            </w:r>
          </w:p>
        </w:tc>
        <w:tc>
          <w:tcPr>
            <w:tcW w:w="2433" w:type="dxa"/>
            <w:tcBorders>
              <w:top w:val="nil"/>
              <w:left w:val="nil"/>
              <w:bottom w:val="nil"/>
              <w:right w:val="single" w:sz="4" w:space="0" w:color="auto"/>
            </w:tcBorders>
          </w:tcPr>
          <w:p w14:paraId="60DE5BB3"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10</w:t>
            </w:r>
          </w:p>
        </w:tc>
      </w:tr>
      <w:tr w:rsidR="000B48C9" w:rsidRPr="001E7605" w14:paraId="48A3A5EC" w14:textId="77777777" w:rsidTr="00301F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32" w:type="dxa"/>
            <w:tcBorders>
              <w:top w:val="nil"/>
              <w:left w:val="single" w:sz="4" w:space="0" w:color="auto"/>
              <w:bottom w:val="single" w:sz="4" w:space="0" w:color="auto"/>
            </w:tcBorders>
          </w:tcPr>
          <w:p w14:paraId="7BD8034E" w14:textId="5469C9A7"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EGTA</w:t>
            </w:r>
          </w:p>
        </w:tc>
        <w:tc>
          <w:tcPr>
            <w:tcW w:w="2433" w:type="dxa"/>
            <w:tcBorders>
              <w:top w:val="nil"/>
              <w:bottom w:val="single" w:sz="4" w:space="0" w:color="auto"/>
              <w:right w:val="single" w:sz="4" w:space="0" w:color="auto"/>
            </w:tcBorders>
          </w:tcPr>
          <w:p w14:paraId="2903BD6D"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5</w:t>
            </w:r>
          </w:p>
        </w:tc>
        <w:tc>
          <w:tcPr>
            <w:tcW w:w="2432" w:type="dxa"/>
            <w:tcBorders>
              <w:top w:val="nil"/>
              <w:left w:val="single" w:sz="4" w:space="0" w:color="auto"/>
              <w:bottom w:val="single" w:sz="4" w:space="0" w:color="auto"/>
              <w:right w:val="nil"/>
            </w:tcBorders>
          </w:tcPr>
          <w:p w14:paraId="0F86BC44"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p>
        </w:tc>
        <w:tc>
          <w:tcPr>
            <w:tcW w:w="2433" w:type="dxa"/>
            <w:tcBorders>
              <w:top w:val="nil"/>
              <w:left w:val="nil"/>
              <w:bottom w:val="single" w:sz="4" w:space="0" w:color="4472C4"/>
              <w:right w:val="single" w:sz="4" w:space="0" w:color="auto"/>
            </w:tcBorders>
          </w:tcPr>
          <w:p w14:paraId="3EF142FC"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 xml:space="preserve">  </w:t>
            </w:r>
          </w:p>
        </w:tc>
      </w:tr>
      <w:tr w:rsidR="000B48C9" w:rsidRPr="00FF720A" w14:paraId="7A124FDE" w14:textId="77777777" w:rsidTr="00301F0B">
        <w:trPr>
          <w:trHeight w:val="255"/>
        </w:trPr>
        <w:tc>
          <w:tcPr>
            <w:cnfStyle w:val="001000000000" w:firstRow="0" w:lastRow="0" w:firstColumn="1" w:lastColumn="0" w:oddVBand="0" w:evenVBand="0" w:oddHBand="0" w:evenHBand="0" w:firstRowFirstColumn="0" w:firstRowLastColumn="0" w:lastRowFirstColumn="0" w:lastRowLastColumn="0"/>
            <w:tcW w:w="4865" w:type="dxa"/>
            <w:gridSpan w:val="2"/>
            <w:tcBorders>
              <w:top w:val="single" w:sz="4" w:space="0" w:color="auto"/>
              <w:left w:val="single" w:sz="4" w:space="0" w:color="auto"/>
              <w:bottom w:val="single" w:sz="4" w:space="0" w:color="auto"/>
              <w:right w:val="single" w:sz="4" w:space="0" w:color="auto"/>
            </w:tcBorders>
          </w:tcPr>
          <w:p w14:paraId="4921298C" w14:textId="77777777"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pH adjusted to 7.25 with KOH</w:t>
            </w:r>
          </w:p>
        </w:tc>
        <w:tc>
          <w:tcPr>
            <w:tcW w:w="4865" w:type="dxa"/>
            <w:gridSpan w:val="2"/>
            <w:tcBorders>
              <w:top w:val="single" w:sz="4" w:space="0" w:color="auto"/>
              <w:left w:val="single" w:sz="4" w:space="0" w:color="auto"/>
              <w:bottom w:val="single" w:sz="4" w:space="0" w:color="auto"/>
              <w:right w:val="single" w:sz="4" w:space="0" w:color="auto"/>
            </w:tcBorders>
          </w:tcPr>
          <w:p w14:paraId="1843BF65"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pH adjusted to 7.4 with NaOH</w:t>
            </w:r>
          </w:p>
        </w:tc>
      </w:tr>
      <w:bookmarkEnd w:id="18"/>
    </w:tbl>
    <w:p w14:paraId="67490559" w14:textId="77777777" w:rsidR="00F150C7" w:rsidRPr="001E7605" w:rsidRDefault="00F150C7">
      <w:pPr>
        <w:pStyle w:val="TextoTesis"/>
      </w:pPr>
    </w:p>
    <w:p w14:paraId="2B8EF11C" w14:textId="5284C5A8" w:rsidR="000B48C9" w:rsidRPr="001E7605" w:rsidRDefault="000B48C9">
      <w:pPr>
        <w:pStyle w:val="TextoTesis"/>
      </w:pPr>
      <w:r w:rsidRPr="001E7605">
        <w:t>To record K</w:t>
      </w:r>
      <w:r w:rsidRPr="001E7605">
        <w:rPr>
          <w:vertAlign w:val="superscript"/>
        </w:rPr>
        <w:t>+</w:t>
      </w:r>
      <w:r w:rsidRPr="001E7605">
        <w:t xml:space="preserve"> currents in isolated ventricular mouse cardiomyocytes, the solutions </w:t>
      </w:r>
      <w:r w:rsidR="00F00478" w:rsidRPr="001E7605">
        <w:t xml:space="preserve">shown in Table 5 </w:t>
      </w:r>
      <w:r w:rsidRPr="001E7605">
        <w:t>were used</w:t>
      </w:r>
      <w:r w:rsidR="00F00478" w:rsidRPr="001E7605">
        <w:t>.</w:t>
      </w:r>
      <w:r w:rsidR="00F150C7" w:rsidRPr="001E7605">
        <w:t xml:space="preserve"> The composition of the internal and external solutions used in isolated ventricular mouse cardiomyocytes cells (CMs) are shown in Table 5.</w:t>
      </w:r>
    </w:p>
    <w:p w14:paraId="25C48395" w14:textId="65F9EA0C" w:rsidR="000B48C9" w:rsidRPr="001E7605" w:rsidRDefault="000B48C9" w:rsidP="00B47094">
      <w:pPr>
        <w:pStyle w:val="Heading1"/>
        <w:rPr>
          <w:rStyle w:val="SubtleEmphasis"/>
          <w:lang w:val="en-GB"/>
        </w:rPr>
      </w:pPr>
      <w:bookmarkStart w:id="19" w:name="_Toc145605324"/>
      <w:r w:rsidRPr="001E7605">
        <w:rPr>
          <w:rStyle w:val="SubtleEmphasis"/>
          <w:lang w:val="en-GB"/>
        </w:rPr>
        <w:t xml:space="preserve">Table </w:t>
      </w:r>
      <w:r w:rsidR="00F00478" w:rsidRPr="001E7605">
        <w:rPr>
          <w:rStyle w:val="SubtleEmphasis"/>
          <w:lang w:val="en-GB"/>
        </w:rPr>
        <w:t>5</w:t>
      </w:r>
      <w:r w:rsidRPr="001E7605">
        <w:rPr>
          <w:rStyle w:val="SubtleEmphasis"/>
          <w:lang w:val="en-GB"/>
        </w:rPr>
        <w:t>. Internal and external solutions used for patch-clamp in mice isolated cardiomyocytes</w:t>
      </w:r>
      <w:r w:rsidR="00F150C7" w:rsidRPr="001E7605">
        <w:rPr>
          <w:rStyle w:val="SubtleEmphasis"/>
          <w:lang w:val="en-GB"/>
        </w:rPr>
        <w:t xml:space="preserve"> (CMs)</w:t>
      </w:r>
      <w:r w:rsidRPr="001E7605">
        <w:rPr>
          <w:rStyle w:val="SubtleEmphasis"/>
          <w:lang w:val="en-GB"/>
        </w:rPr>
        <w:t>.</w:t>
      </w:r>
      <w:bookmarkEnd w:id="19"/>
    </w:p>
    <w:tbl>
      <w:tblPr>
        <w:tblStyle w:val="ListTable3"/>
        <w:tblW w:w="0" w:type="auto"/>
        <w:tblLook w:val="04A0" w:firstRow="1" w:lastRow="0" w:firstColumn="1" w:lastColumn="0" w:noHBand="0" w:noVBand="1"/>
      </w:tblPr>
      <w:tblGrid>
        <w:gridCol w:w="2282"/>
        <w:gridCol w:w="2229"/>
        <w:gridCol w:w="2276"/>
        <w:gridCol w:w="2229"/>
      </w:tblGrid>
      <w:tr w:rsidR="000B48C9" w:rsidRPr="001E7605" w14:paraId="3CC5F6BE" w14:textId="77777777" w:rsidTr="00C82F48">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0" w:type="dxa"/>
            <w:gridSpan w:val="2"/>
            <w:tcBorders>
              <w:top w:val="single" w:sz="4" w:space="0" w:color="auto"/>
              <w:left w:val="single" w:sz="4" w:space="0" w:color="auto"/>
              <w:bottom w:val="double" w:sz="4" w:space="0" w:color="auto"/>
              <w:right w:val="single" w:sz="4" w:space="0" w:color="auto"/>
            </w:tcBorders>
            <w:shd w:val="clear" w:color="auto" w:fill="F2F2F2" w:themeFill="background1" w:themeFillShade="F2"/>
          </w:tcPr>
          <w:p w14:paraId="7EF8BEBF" w14:textId="77777777" w:rsidR="000B48C9" w:rsidRPr="001E7605" w:rsidRDefault="000B48C9" w:rsidP="0082688A">
            <w:pPr>
              <w:spacing w:line="276" w:lineRule="auto"/>
              <w:jc w:val="center"/>
              <w:rPr>
                <w:rFonts w:ascii="Garamond" w:hAnsi="Garamond"/>
                <w:color w:val="000000" w:themeColor="text1"/>
                <w:sz w:val="22"/>
                <w:lang w:val="en-GB"/>
              </w:rPr>
            </w:pPr>
            <w:r w:rsidRPr="001E7605">
              <w:rPr>
                <w:rFonts w:ascii="Garamond" w:hAnsi="Garamond"/>
                <w:color w:val="000000" w:themeColor="text1"/>
                <w:sz w:val="22"/>
                <w:lang w:val="en-GB"/>
              </w:rPr>
              <w:t>Internal solution (mM)</w:t>
            </w:r>
          </w:p>
        </w:tc>
        <w:tc>
          <w:tcPr>
            <w:tcW w:w="0" w:type="dxa"/>
            <w:gridSpan w:val="2"/>
            <w:tcBorders>
              <w:top w:val="single" w:sz="4" w:space="0" w:color="auto"/>
              <w:left w:val="single" w:sz="4" w:space="0" w:color="auto"/>
              <w:bottom w:val="double" w:sz="4" w:space="0" w:color="auto"/>
              <w:right w:val="single" w:sz="4" w:space="0" w:color="auto"/>
            </w:tcBorders>
            <w:shd w:val="clear" w:color="auto" w:fill="F2F2F2" w:themeFill="background1" w:themeFillShade="F2"/>
          </w:tcPr>
          <w:p w14:paraId="27BA9A80" w14:textId="77777777" w:rsidR="000B48C9" w:rsidRPr="001E7605" w:rsidRDefault="000B48C9" w:rsidP="0082688A">
            <w:pPr>
              <w:spacing w:line="276"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olor w:val="000000" w:themeColor="text1"/>
                <w:sz w:val="22"/>
                <w:lang w:val="en-GB"/>
              </w:rPr>
            </w:pPr>
            <w:r w:rsidRPr="001E7605">
              <w:rPr>
                <w:rFonts w:ascii="Garamond" w:hAnsi="Garamond"/>
                <w:color w:val="000000" w:themeColor="text1"/>
                <w:sz w:val="22"/>
                <w:lang w:val="en-GB"/>
              </w:rPr>
              <w:t>External solution (mM)</w:t>
            </w:r>
          </w:p>
        </w:tc>
      </w:tr>
      <w:tr w:rsidR="000B48C9" w:rsidRPr="001E7605" w14:paraId="2F72101D" w14:textId="77777777" w:rsidTr="00C82F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32" w:type="dxa"/>
            <w:tcBorders>
              <w:top w:val="double" w:sz="4" w:space="0" w:color="auto"/>
              <w:left w:val="single" w:sz="4" w:space="0" w:color="auto"/>
              <w:bottom w:val="nil"/>
            </w:tcBorders>
          </w:tcPr>
          <w:p w14:paraId="1197B37D" w14:textId="77777777"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K-Aspartate</w:t>
            </w:r>
          </w:p>
        </w:tc>
        <w:tc>
          <w:tcPr>
            <w:tcW w:w="2433" w:type="dxa"/>
            <w:tcBorders>
              <w:top w:val="double" w:sz="4" w:space="0" w:color="auto"/>
              <w:left w:val="nil"/>
              <w:bottom w:val="nil"/>
              <w:right w:val="single" w:sz="4" w:space="0" w:color="auto"/>
            </w:tcBorders>
          </w:tcPr>
          <w:p w14:paraId="03CD7B6F"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110</w:t>
            </w:r>
          </w:p>
        </w:tc>
        <w:tc>
          <w:tcPr>
            <w:tcW w:w="2432" w:type="dxa"/>
            <w:tcBorders>
              <w:top w:val="double" w:sz="4" w:space="0" w:color="auto"/>
              <w:left w:val="single" w:sz="4" w:space="0" w:color="auto"/>
              <w:bottom w:val="nil"/>
              <w:right w:val="nil"/>
            </w:tcBorders>
          </w:tcPr>
          <w:p w14:paraId="7D050D90"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NaCl</w:t>
            </w:r>
          </w:p>
        </w:tc>
        <w:tc>
          <w:tcPr>
            <w:tcW w:w="2433" w:type="dxa"/>
            <w:tcBorders>
              <w:top w:val="double" w:sz="4" w:space="0" w:color="auto"/>
              <w:left w:val="nil"/>
              <w:bottom w:val="nil"/>
              <w:right w:val="single" w:sz="4" w:space="0" w:color="auto"/>
            </w:tcBorders>
          </w:tcPr>
          <w:p w14:paraId="45E64F03"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136</w:t>
            </w:r>
          </w:p>
        </w:tc>
      </w:tr>
      <w:tr w:rsidR="000B48C9" w:rsidRPr="001E7605" w14:paraId="79E52021" w14:textId="77777777" w:rsidTr="00982D54">
        <w:trPr>
          <w:trHeight w:val="255"/>
        </w:trPr>
        <w:tc>
          <w:tcPr>
            <w:cnfStyle w:val="001000000000" w:firstRow="0" w:lastRow="0" w:firstColumn="1" w:lastColumn="0" w:oddVBand="0" w:evenVBand="0" w:oddHBand="0" w:evenHBand="0" w:firstRowFirstColumn="0" w:firstRowLastColumn="0" w:lastRowFirstColumn="0" w:lastRowLastColumn="0"/>
            <w:tcW w:w="2432" w:type="dxa"/>
            <w:tcBorders>
              <w:top w:val="nil"/>
              <w:left w:val="single" w:sz="4" w:space="0" w:color="auto"/>
              <w:bottom w:val="nil"/>
            </w:tcBorders>
          </w:tcPr>
          <w:p w14:paraId="45E10333" w14:textId="77777777"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KCl</w:t>
            </w:r>
          </w:p>
        </w:tc>
        <w:tc>
          <w:tcPr>
            <w:tcW w:w="2433" w:type="dxa"/>
            <w:tcBorders>
              <w:top w:val="nil"/>
              <w:bottom w:val="nil"/>
              <w:right w:val="single" w:sz="4" w:space="0" w:color="auto"/>
            </w:tcBorders>
          </w:tcPr>
          <w:p w14:paraId="64448D1F"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20</w:t>
            </w:r>
          </w:p>
        </w:tc>
        <w:tc>
          <w:tcPr>
            <w:tcW w:w="2432" w:type="dxa"/>
            <w:tcBorders>
              <w:top w:val="nil"/>
              <w:left w:val="single" w:sz="4" w:space="0" w:color="auto"/>
              <w:bottom w:val="nil"/>
              <w:right w:val="nil"/>
            </w:tcBorders>
          </w:tcPr>
          <w:p w14:paraId="34E6D70C"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KCl</w:t>
            </w:r>
          </w:p>
        </w:tc>
        <w:tc>
          <w:tcPr>
            <w:tcW w:w="2433" w:type="dxa"/>
            <w:tcBorders>
              <w:top w:val="nil"/>
              <w:left w:val="nil"/>
              <w:bottom w:val="nil"/>
              <w:right w:val="single" w:sz="4" w:space="0" w:color="auto"/>
            </w:tcBorders>
          </w:tcPr>
          <w:p w14:paraId="16D4B9B5"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5.4</w:t>
            </w:r>
          </w:p>
        </w:tc>
      </w:tr>
      <w:tr w:rsidR="000B48C9" w:rsidRPr="001E7605" w14:paraId="364396FC" w14:textId="77777777" w:rsidTr="00982D5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32" w:type="dxa"/>
            <w:tcBorders>
              <w:top w:val="nil"/>
              <w:left w:val="single" w:sz="4" w:space="0" w:color="auto"/>
              <w:bottom w:val="nil"/>
            </w:tcBorders>
          </w:tcPr>
          <w:p w14:paraId="660E87D9" w14:textId="77777777"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CaCl</w:t>
            </w:r>
            <w:r w:rsidRPr="001E7605">
              <w:rPr>
                <w:rFonts w:ascii="Garamond" w:hAnsi="Garamond"/>
                <w:b w:val="0"/>
                <w:sz w:val="22"/>
                <w:vertAlign w:val="subscript"/>
                <w:lang w:val="en-GB"/>
              </w:rPr>
              <w:t>2</w:t>
            </w:r>
          </w:p>
        </w:tc>
        <w:tc>
          <w:tcPr>
            <w:tcW w:w="2433" w:type="dxa"/>
            <w:tcBorders>
              <w:top w:val="nil"/>
              <w:bottom w:val="nil"/>
              <w:right w:val="single" w:sz="4" w:space="0" w:color="auto"/>
            </w:tcBorders>
          </w:tcPr>
          <w:p w14:paraId="567E8565"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1</w:t>
            </w:r>
          </w:p>
        </w:tc>
        <w:tc>
          <w:tcPr>
            <w:tcW w:w="2432" w:type="dxa"/>
            <w:tcBorders>
              <w:top w:val="nil"/>
              <w:left w:val="single" w:sz="4" w:space="0" w:color="auto"/>
              <w:bottom w:val="nil"/>
              <w:right w:val="nil"/>
            </w:tcBorders>
          </w:tcPr>
          <w:p w14:paraId="4ED04D4E"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CaCl</w:t>
            </w:r>
            <w:r w:rsidRPr="001E7605">
              <w:rPr>
                <w:rFonts w:ascii="Garamond" w:hAnsi="Garamond"/>
                <w:sz w:val="22"/>
                <w:vertAlign w:val="subscript"/>
                <w:lang w:val="en-GB"/>
              </w:rPr>
              <w:t>2</w:t>
            </w:r>
          </w:p>
        </w:tc>
        <w:tc>
          <w:tcPr>
            <w:tcW w:w="2433" w:type="dxa"/>
            <w:tcBorders>
              <w:top w:val="nil"/>
              <w:left w:val="nil"/>
              <w:bottom w:val="nil"/>
              <w:right w:val="single" w:sz="4" w:space="0" w:color="auto"/>
            </w:tcBorders>
          </w:tcPr>
          <w:p w14:paraId="28328C78"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0.9</w:t>
            </w:r>
          </w:p>
        </w:tc>
      </w:tr>
      <w:tr w:rsidR="000B48C9" w:rsidRPr="001E7605" w14:paraId="43C47ACB" w14:textId="77777777" w:rsidTr="00982D54">
        <w:trPr>
          <w:trHeight w:val="255"/>
        </w:trPr>
        <w:tc>
          <w:tcPr>
            <w:cnfStyle w:val="001000000000" w:firstRow="0" w:lastRow="0" w:firstColumn="1" w:lastColumn="0" w:oddVBand="0" w:evenVBand="0" w:oddHBand="0" w:evenHBand="0" w:firstRowFirstColumn="0" w:firstRowLastColumn="0" w:lastRowFirstColumn="0" w:lastRowLastColumn="0"/>
            <w:tcW w:w="2432" w:type="dxa"/>
            <w:tcBorders>
              <w:top w:val="nil"/>
              <w:left w:val="single" w:sz="4" w:space="0" w:color="auto"/>
              <w:bottom w:val="nil"/>
            </w:tcBorders>
          </w:tcPr>
          <w:p w14:paraId="5A040EA6" w14:textId="77777777"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K</w:t>
            </w:r>
            <w:r w:rsidRPr="001E7605">
              <w:rPr>
                <w:rFonts w:ascii="Garamond" w:hAnsi="Garamond"/>
                <w:b w:val="0"/>
                <w:sz w:val="22"/>
                <w:vertAlign w:val="subscript"/>
                <w:lang w:val="en-GB"/>
              </w:rPr>
              <w:t>2</w:t>
            </w:r>
            <w:r w:rsidRPr="001E7605">
              <w:rPr>
                <w:rFonts w:ascii="Garamond" w:hAnsi="Garamond"/>
                <w:b w:val="0"/>
                <w:sz w:val="22"/>
                <w:lang w:val="en-GB"/>
              </w:rPr>
              <w:t>ATP</w:t>
            </w:r>
          </w:p>
        </w:tc>
        <w:tc>
          <w:tcPr>
            <w:tcW w:w="2433" w:type="dxa"/>
            <w:tcBorders>
              <w:top w:val="nil"/>
              <w:bottom w:val="nil"/>
              <w:right w:val="single" w:sz="4" w:space="0" w:color="auto"/>
            </w:tcBorders>
          </w:tcPr>
          <w:p w14:paraId="68B2CC9F"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4</w:t>
            </w:r>
          </w:p>
        </w:tc>
        <w:tc>
          <w:tcPr>
            <w:tcW w:w="2432" w:type="dxa"/>
            <w:tcBorders>
              <w:top w:val="nil"/>
              <w:left w:val="single" w:sz="4" w:space="0" w:color="auto"/>
              <w:bottom w:val="nil"/>
              <w:right w:val="nil"/>
            </w:tcBorders>
          </w:tcPr>
          <w:p w14:paraId="2E60D331"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KH</w:t>
            </w:r>
            <w:r w:rsidRPr="001E7605">
              <w:rPr>
                <w:rFonts w:ascii="Garamond" w:hAnsi="Garamond"/>
                <w:sz w:val="22"/>
                <w:vertAlign w:val="subscript"/>
                <w:lang w:val="en-GB"/>
              </w:rPr>
              <w:t>2</w:t>
            </w:r>
            <w:r w:rsidRPr="001E7605">
              <w:rPr>
                <w:rFonts w:ascii="Garamond" w:hAnsi="Garamond"/>
                <w:sz w:val="22"/>
                <w:lang w:val="en-GB"/>
              </w:rPr>
              <w:t>PO</w:t>
            </w:r>
            <w:r w:rsidRPr="001E7605">
              <w:rPr>
                <w:rFonts w:ascii="Garamond" w:hAnsi="Garamond"/>
                <w:sz w:val="22"/>
                <w:vertAlign w:val="subscript"/>
                <w:lang w:val="en-GB"/>
              </w:rPr>
              <w:t>4</w:t>
            </w:r>
          </w:p>
        </w:tc>
        <w:tc>
          <w:tcPr>
            <w:tcW w:w="2433" w:type="dxa"/>
            <w:tcBorders>
              <w:top w:val="nil"/>
              <w:left w:val="nil"/>
              <w:bottom w:val="nil"/>
              <w:right w:val="single" w:sz="4" w:space="0" w:color="auto"/>
            </w:tcBorders>
          </w:tcPr>
          <w:p w14:paraId="5392DA10"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1.2</w:t>
            </w:r>
          </w:p>
        </w:tc>
      </w:tr>
      <w:tr w:rsidR="000B48C9" w:rsidRPr="001E7605" w14:paraId="04EDB333" w14:textId="77777777" w:rsidTr="00982D54">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2432" w:type="dxa"/>
            <w:tcBorders>
              <w:top w:val="nil"/>
              <w:left w:val="single" w:sz="4" w:space="0" w:color="auto"/>
              <w:bottom w:val="nil"/>
            </w:tcBorders>
          </w:tcPr>
          <w:p w14:paraId="63A7958F" w14:textId="77777777" w:rsidR="000B48C9" w:rsidRPr="001E7605" w:rsidRDefault="000B48C9" w:rsidP="0082688A">
            <w:pPr>
              <w:spacing w:line="276" w:lineRule="auto"/>
              <w:jc w:val="center"/>
              <w:rPr>
                <w:rFonts w:ascii="Garamond" w:hAnsi="Garamond"/>
                <w:bCs w:val="0"/>
                <w:sz w:val="22"/>
                <w:lang w:val="en-GB"/>
              </w:rPr>
            </w:pPr>
            <w:r w:rsidRPr="001E7605">
              <w:rPr>
                <w:rFonts w:ascii="Garamond" w:hAnsi="Garamond"/>
                <w:b w:val="0"/>
                <w:sz w:val="22"/>
                <w:lang w:val="en-GB"/>
              </w:rPr>
              <w:t>MgCl</w:t>
            </w:r>
            <w:r w:rsidRPr="001E7605">
              <w:rPr>
                <w:rFonts w:ascii="Garamond" w:hAnsi="Garamond"/>
                <w:b w:val="0"/>
                <w:sz w:val="22"/>
                <w:vertAlign w:val="subscript"/>
                <w:lang w:val="en-GB"/>
              </w:rPr>
              <w:t>2</w:t>
            </w:r>
          </w:p>
        </w:tc>
        <w:tc>
          <w:tcPr>
            <w:tcW w:w="2433" w:type="dxa"/>
            <w:tcBorders>
              <w:top w:val="nil"/>
              <w:left w:val="nil"/>
              <w:bottom w:val="nil"/>
              <w:right w:val="single" w:sz="4" w:space="0" w:color="auto"/>
            </w:tcBorders>
          </w:tcPr>
          <w:p w14:paraId="2F218AA8"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1</w:t>
            </w:r>
          </w:p>
        </w:tc>
        <w:tc>
          <w:tcPr>
            <w:tcW w:w="2432" w:type="dxa"/>
            <w:tcBorders>
              <w:top w:val="nil"/>
              <w:left w:val="single" w:sz="4" w:space="0" w:color="auto"/>
              <w:bottom w:val="nil"/>
              <w:right w:val="nil"/>
            </w:tcBorders>
          </w:tcPr>
          <w:p w14:paraId="34D1249A" w14:textId="3011D1FF"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HEPES</w:t>
            </w:r>
          </w:p>
        </w:tc>
        <w:tc>
          <w:tcPr>
            <w:tcW w:w="2433" w:type="dxa"/>
            <w:tcBorders>
              <w:top w:val="nil"/>
              <w:left w:val="nil"/>
              <w:bottom w:val="nil"/>
              <w:right w:val="single" w:sz="4" w:space="0" w:color="auto"/>
            </w:tcBorders>
          </w:tcPr>
          <w:p w14:paraId="5675EC0E"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5</w:t>
            </w:r>
          </w:p>
        </w:tc>
      </w:tr>
      <w:tr w:rsidR="000B48C9" w:rsidRPr="001E7605" w14:paraId="2AB7D815" w14:textId="77777777" w:rsidTr="00982D54">
        <w:trPr>
          <w:trHeight w:val="60"/>
        </w:trPr>
        <w:tc>
          <w:tcPr>
            <w:cnfStyle w:val="001000000000" w:firstRow="0" w:lastRow="0" w:firstColumn="1" w:lastColumn="0" w:oddVBand="0" w:evenVBand="0" w:oddHBand="0" w:evenHBand="0" w:firstRowFirstColumn="0" w:firstRowLastColumn="0" w:lastRowFirstColumn="0" w:lastRowLastColumn="0"/>
            <w:tcW w:w="2432" w:type="dxa"/>
            <w:tcBorders>
              <w:top w:val="nil"/>
              <w:left w:val="single" w:sz="4" w:space="0" w:color="auto"/>
              <w:bottom w:val="nil"/>
            </w:tcBorders>
          </w:tcPr>
          <w:p w14:paraId="2E006466" w14:textId="77777777"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NaCl</w:t>
            </w:r>
          </w:p>
        </w:tc>
        <w:tc>
          <w:tcPr>
            <w:tcW w:w="2433" w:type="dxa"/>
            <w:tcBorders>
              <w:top w:val="nil"/>
              <w:left w:val="nil"/>
              <w:bottom w:val="nil"/>
              <w:right w:val="single" w:sz="4" w:space="0" w:color="auto"/>
            </w:tcBorders>
          </w:tcPr>
          <w:p w14:paraId="601871B9"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8</w:t>
            </w:r>
          </w:p>
        </w:tc>
        <w:tc>
          <w:tcPr>
            <w:tcW w:w="2432" w:type="dxa"/>
            <w:tcBorders>
              <w:top w:val="nil"/>
              <w:left w:val="single" w:sz="4" w:space="0" w:color="auto"/>
              <w:bottom w:val="nil"/>
              <w:right w:val="nil"/>
            </w:tcBorders>
          </w:tcPr>
          <w:p w14:paraId="24CFA9CA"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Glucose</w:t>
            </w:r>
          </w:p>
        </w:tc>
        <w:tc>
          <w:tcPr>
            <w:tcW w:w="2433" w:type="dxa"/>
            <w:tcBorders>
              <w:top w:val="nil"/>
              <w:left w:val="nil"/>
              <w:bottom w:val="nil"/>
              <w:right w:val="single" w:sz="4" w:space="0" w:color="auto"/>
            </w:tcBorders>
          </w:tcPr>
          <w:p w14:paraId="4DB16D38"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10</w:t>
            </w:r>
          </w:p>
        </w:tc>
      </w:tr>
      <w:tr w:rsidR="000B48C9" w:rsidRPr="001E7605" w14:paraId="0151D266" w14:textId="77777777" w:rsidTr="00982D5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32" w:type="dxa"/>
            <w:tcBorders>
              <w:top w:val="nil"/>
              <w:left w:val="single" w:sz="4" w:space="0" w:color="auto"/>
              <w:bottom w:val="nil"/>
            </w:tcBorders>
          </w:tcPr>
          <w:p w14:paraId="69E97631" w14:textId="2E0562A7"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HEPES</w:t>
            </w:r>
          </w:p>
        </w:tc>
        <w:tc>
          <w:tcPr>
            <w:tcW w:w="2433" w:type="dxa"/>
            <w:tcBorders>
              <w:top w:val="nil"/>
              <w:left w:val="nil"/>
              <w:bottom w:val="nil"/>
              <w:right w:val="single" w:sz="4" w:space="0" w:color="auto"/>
            </w:tcBorders>
          </w:tcPr>
          <w:p w14:paraId="3C682A77"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5</w:t>
            </w:r>
          </w:p>
        </w:tc>
        <w:tc>
          <w:tcPr>
            <w:tcW w:w="2432" w:type="dxa"/>
            <w:tcBorders>
              <w:top w:val="nil"/>
              <w:left w:val="single" w:sz="4" w:space="0" w:color="auto"/>
              <w:bottom w:val="nil"/>
              <w:right w:val="nil"/>
            </w:tcBorders>
          </w:tcPr>
          <w:p w14:paraId="0331E9F5"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p>
        </w:tc>
        <w:tc>
          <w:tcPr>
            <w:tcW w:w="2433" w:type="dxa"/>
            <w:tcBorders>
              <w:top w:val="nil"/>
              <w:left w:val="nil"/>
              <w:bottom w:val="nil"/>
              <w:right w:val="single" w:sz="4" w:space="0" w:color="auto"/>
            </w:tcBorders>
          </w:tcPr>
          <w:p w14:paraId="2CE8FD80"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p>
        </w:tc>
      </w:tr>
      <w:tr w:rsidR="000B48C9" w:rsidRPr="001E7605" w14:paraId="7193E5BD" w14:textId="77777777" w:rsidTr="00982D54">
        <w:trPr>
          <w:trHeight w:val="255"/>
        </w:trPr>
        <w:tc>
          <w:tcPr>
            <w:cnfStyle w:val="001000000000" w:firstRow="0" w:lastRow="0" w:firstColumn="1" w:lastColumn="0" w:oddVBand="0" w:evenVBand="0" w:oddHBand="0" w:evenHBand="0" w:firstRowFirstColumn="0" w:firstRowLastColumn="0" w:lastRowFirstColumn="0" w:lastRowLastColumn="0"/>
            <w:tcW w:w="2432" w:type="dxa"/>
            <w:tcBorders>
              <w:top w:val="nil"/>
              <w:left w:val="single" w:sz="4" w:space="0" w:color="auto"/>
              <w:bottom w:val="single" w:sz="4" w:space="0" w:color="auto"/>
            </w:tcBorders>
          </w:tcPr>
          <w:p w14:paraId="3B0154B1" w14:textId="1FA6715E"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EGTA</w:t>
            </w:r>
          </w:p>
        </w:tc>
        <w:tc>
          <w:tcPr>
            <w:tcW w:w="2433" w:type="dxa"/>
            <w:tcBorders>
              <w:top w:val="nil"/>
              <w:bottom w:val="single" w:sz="4" w:space="0" w:color="auto"/>
              <w:right w:val="single" w:sz="4" w:space="0" w:color="auto"/>
            </w:tcBorders>
          </w:tcPr>
          <w:p w14:paraId="3D1AE8A3"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10</w:t>
            </w:r>
          </w:p>
        </w:tc>
        <w:tc>
          <w:tcPr>
            <w:tcW w:w="2432" w:type="dxa"/>
            <w:tcBorders>
              <w:top w:val="nil"/>
              <w:left w:val="single" w:sz="4" w:space="0" w:color="auto"/>
              <w:bottom w:val="single" w:sz="4" w:space="0" w:color="auto"/>
              <w:right w:val="nil"/>
            </w:tcBorders>
          </w:tcPr>
          <w:p w14:paraId="4C5B8E74"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p>
        </w:tc>
        <w:tc>
          <w:tcPr>
            <w:tcW w:w="2433" w:type="dxa"/>
            <w:tcBorders>
              <w:top w:val="nil"/>
              <w:left w:val="nil"/>
              <w:bottom w:val="single" w:sz="4" w:space="0" w:color="auto"/>
              <w:right w:val="single" w:sz="4" w:space="0" w:color="auto"/>
            </w:tcBorders>
          </w:tcPr>
          <w:p w14:paraId="6F74DECA"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 xml:space="preserve">  </w:t>
            </w:r>
          </w:p>
        </w:tc>
      </w:tr>
      <w:tr w:rsidR="000B48C9" w:rsidRPr="00FF720A" w14:paraId="3FC8DF7A" w14:textId="77777777" w:rsidTr="00982D5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865" w:type="dxa"/>
            <w:gridSpan w:val="2"/>
            <w:tcBorders>
              <w:top w:val="single" w:sz="4" w:space="0" w:color="auto"/>
              <w:left w:val="single" w:sz="4" w:space="0" w:color="auto"/>
              <w:bottom w:val="single" w:sz="4" w:space="0" w:color="auto"/>
              <w:right w:val="single" w:sz="4" w:space="0" w:color="auto"/>
            </w:tcBorders>
          </w:tcPr>
          <w:p w14:paraId="51E17553" w14:textId="77777777" w:rsidR="000B48C9" w:rsidRPr="001E7605" w:rsidRDefault="000B48C9" w:rsidP="0082688A">
            <w:pPr>
              <w:spacing w:line="276" w:lineRule="auto"/>
              <w:jc w:val="center"/>
              <w:rPr>
                <w:rFonts w:ascii="Garamond" w:hAnsi="Garamond"/>
                <w:b w:val="0"/>
                <w:sz w:val="22"/>
                <w:lang w:val="en-GB"/>
              </w:rPr>
            </w:pPr>
            <w:r w:rsidRPr="001E7605">
              <w:rPr>
                <w:rFonts w:ascii="Garamond" w:hAnsi="Garamond"/>
                <w:b w:val="0"/>
                <w:sz w:val="22"/>
                <w:lang w:val="en-GB"/>
              </w:rPr>
              <w:t>pH adjusted to 7.2 with KOH</w:t>
            </w:r>
          </w:p>
        </w:tc>
        <w:tc>
          <w:tcPr>
            <w:tcW w:w="4865" w:type="dxa"/>
            <w:gridSpan w:val="2"/>
            <w:tcBorders>
              <w:top w:val="single" w:sz="4" w:space="0" w:color="auto"/>
              <w:left w:val="single" w:sz="4" w:space="0" w:color="auto"/>
              <w:bottom w:val="single" w:sz="4" w:space="0" w:color="auto"/>
              <w:right w:val="single" w:sz="4" w:space="0" w:color="auto"/>
            </w:tcBorders>
          </w:tcPr>
          <w:p w14:paraId="515EE01F"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pH adjusted to 7.4 with NaOH</w:t>
            </w:r>
          </w:p>
        </w:tc>
      </w:tr>
    </w:tbl>
    <w:p w14:paraId="18321979" w14:textId="77777777" w:rsidR="000B48C9" w:rsidRPr="001E7605" w:rsidRDefault="000B48C9">
      <w:pPr>
        <w:pStyle w:val="TextoTesis"/>
      </w:pPr>
    </w:p>
    <w:p w14:paraId="5507FBBE" w14:textId="1BDA363C" w:rsidR="000B48C9" w:rsidRPr="001E7605" w:rsidRDefault="000B48C9" w:rsidP="00FF720A">
      <w:pPr>
        <w:pStyle w:val="Ttulo3Tesis"/>
      </w:pPr>
      <w:bookmarkStart w:id="20" w:name="_Toc145663645"/>
      <w:r w:rsidRPr="001E7605">
        <w:t>Ion currents and action potential acquisition</w:t>
      </w:r>
      <w:r w:rsidR="004340AE" w:rsidRPr="001E7605">
        <w:t>,</w:t>
      </w:r>
      <w:r w:rsidRPr="001E7605">
        <w:t xml:space="preserve"> and data analysis</w:t>
      </w:r>
      <w:bookmarkEnd w:id="20"/>
    </w:p>
    <w:p w14:paraId="2E517820" w14:textId="4669EE2A" w:rsidR="000B48C9" w:rsidRPr="001E7605" w:rsidRDefault="000B48C9">
      <w:pPr>
        <w:pStyle w:val="TextoTesis"/>
      </w:pPr>
      <w:r w:rsidRPr="001E7605">
        <w:t xml:space="preserve">Before performing patch-clamp experiments in HEK293, </w:t>
      </w:r>
      <w:proofErr w:type="spellStart"/>
      <w:r w:rsidRPr="001E7605">
        <w:rPr>
          <w:i/>
        </w:rPr>
        <w:t>Ltk</w:t>
      </w:r>
      <w:proofErr w:type="spellEnd"/>
      <w:r w:rsidRPr="001E7605">
        <w:rPr>
          <w:i/>
          <w:vertAlign w:val="superscript"/>
        </w:rPr>
        <w:t>-</w:t>
      </w:r>
      <w:r w:rsidRPr="001E7605">
        <w:t xml:space="preserve"> and CHO cells, fluorescent cells (</w:t>
      </w:r>
      <w:proofErr w:type="spellStart"/>
      <w:r w:rsidRPr="001E7605">
        <w:t>mCherry</w:t>
      </w:r>
      <w:proofErr w:type="spellEnd"/>
      <w:r w:rsidRPr="001E7605">
        <w:t xml:space="preserve"> and/or GFP positive cells) were isolated by using Fluorescence-Activated Cell Sorting (</w:t>
      </w:r>
      <w:proofErr w:type="spellStart"/>
      <w:r w:rsidRPr="001E7605">
        <w:t>FACSVantage</w:t>
      </w:r>
      <w:proofErr w:type="spellEnd"/>
      <w:r w:rsidRPr="001E7605">
        <w:t xml:space="preserve"> SE; BD Biosciences, Franklin Lakes, NK, USA) and preserved in complete DMEM or </w:t>
      </w:r>
      <w:proofErr w:type="spellStart"/>
      <w:r w:rsidRPr="001E7605">
        <w:t>Iscove</w:t>
      </w:r>
      <w:proofErr w:type="spellEnd"/>
      <w:r w:rsidRPr="001E7605">
        <w:t xml:space="preserve"> until being used. Cells aliquots were placed in the perfusion chamber on the stage of an inverted microscope (Eclipse TS-200, Nikon). The corresponding potassium currents elicited were recorded using the whole-cell configuration of the patch-clamp technique</w:t>
      </w:r>
      <w:r w:rsidR="003328B3" w:rsidRPr="001E7605">
        <w:t xml:space="preserve"> with</w:t>
      </w:r>
      <w:r w:rsidRPr="001E7605">
        <w:t xml:space="preserve"> </w:t>
      </w:r>
      <w:r w:rsidR="00176B7B" w:rsidRPr="001E7605">
        <w:t xml:space="preserve">an </w:t>
      </w:r>
      <w:r w:rsidRPr="001E7605">
        <w:t>Axopatch-200B amplifier (Molecular Devices Co., USA) and the</w:t>
      </w:r>
      <w:r w:rsidR="00176B7B" w:rsidRPr="001E7605">
        <w:t>se</w:t>
      </w:r>
      <w:r w:rsidRPr="001E7605">
        <w:t xml:space="preserve"> currents were </w:t>
      </w:r>
      <w:r w:rsidR="006C33C1" w:rsidRPr="001E7605">
        <w:t xml:space="preserve">low-pass filtered </w:t>
      </w:r>
      <w:r w:rsidR="006C33C1" w:rsidRPr="001E7605">
        <w:lastRenderedPageBreak/>
        <w:t xml:space="preserve">at 2 kHz </w:t>
      </w:r>
      <w:r w:rsidRPr="001E7605">
        <w:t xml:space="preserve">and sampled at </w:t>
      </w:r>
      <w:r w:rsidR="006C33C1" w:rsidRPr="001E7605">
        <w:t xml:space="preserve">4 </w:t>
      </w:r>
      <w:r w:rsidRPr="001E7605">
        <w:t>kHz with an analogue to digital converter (</w:t>
      </w:r>
      <w:proofErr w:type="spellStart"/>
      <w:r w:rsidRPr="001E7605">
        <w:t>Digidata</w:t>
      </w:r>
      <w:proofErr w:type="spellEnd"/>
      <w:r w:rsidRPr="001E7605">
        <w:t xml:space="preserve"> 1322A, Molecular Devices). Experiments were performed at </w:t>
      </w:r>
      <w:r w:rsidR="008D7D7C" w:rsidRPr="001E7605">
        <w:t>RT</w:t>
      </w:r>
      <w:r w:rsidRPr="001E7605">
        <w:t xml:space="preserve"> (22 ± 2 ºC).</w:t>
      </w:r>
    </w:p>
    <w:p w14:paraId="067A1DC6" w14:textId="139FA448" w:rsidR="000B48C9" w:rsidRPr="001E7605" w:rsidRDefault="000B48C9">
      <w:pPr>
        <w:pStyle w:val="TextoTesis"/>
      </w:pPr>
      <w:r w:rsidRPr="001E7605">
        <w:t>Following cardiomyocyte’s isolation and Ca</w:t>
      </w:r>
      <w:r w:rsidRPr="001E7605">
        <w:rPr>
          <w:vertAlign w:val="superscript"/>
        </w:rPr>
        <w:t>2+</w:t>
      </w:r>
      <w:r w:rsidRPr="001E7605">
        <w:t xml:space="preserve"> re-introduction, </w:t>
      </w:r>
      <w:r w:rsidR="004340AE" w:rsidRPr="001E7605">
        <w:t>cells</w:t>
      </w:r>
      <w:r w:rsidRPr="001E7605">
        <w:t xml:space="preserve"> were placed in </w:t>
      </w:r>
      <w:r w:rsidR="004340AE" w:rsidRPr="001E7605">
        <w:t xml:space="preserve">a </w:t>
      </w:r>
      <w:r w:rsidRPr="001E7605">
        <w:t xml:space="preserve">perfusion chamber (RC-26, Warner instruments) mounted on the stage of an inverted microscope (DMi8, Leica) and were allowed to settle on the bottom before being </w:t>
      </w:r>
      <w:proofErr w:type="spellStart"/>
      <w:r w:rsidR="00B509DB" w:rsidRPr="00A945AB">
        <w:t>su</w:t>
      </w:r>
      <w:r w:rsidRPr="001E7605">
        <w:t>perfused</w:t>
      </w:r>
      <w:proofErr w:type="spellEnd"/>
      <w:r w:rsidRPr="001E7605">
        <w:t xml:space="preserve"> with the external solution. Infected cells (expressing </w:t>
      </w:r>
      <w:proofErr w:type="spellStart"/>
      <w:r w:rsidRPr="001E7605">
        <w:t>tdTomato</w:t>
      </w:r>
      <w:proofErr w:type="spellEnd"/>
      <w:r w:rsidRPr="001E7605">
        <w:t xml:space="preserve">) were selected with fluorescence. </w:t>
      </w:r>
      <w:r w:rsidRPr="001E7605">
        <w:rPr>
          <w:bCs/>
          <w:szCs w:val="28"/>
        </w:rPr>
        <w:t xml:space="preserve">Whole-cell clamp recordings were made using </w:t>
      </w:r>
      <w:r w:rsidRPr="001E7605">
        <w:t xml:space="preserve">an Axopatch-200B amplifier (Molecular Devices Co., USA). Voltage-clamp currents were low-pass filtered at 2 kHz and sampled at 4-10 </w:t>
      </w:r>
      <w:r w:rsidR="004340AE" w:rsidRPr="001E7605">
        <w:t>k</w:t>
      </w:r>
      <w:r w:rsidRPr="001E7605">
        <w:t>Hz with an analogue to digital converter (</w:t>
      </w:r>
      <w:proofErr w:type="spellStart"/>
      <w:r w:rsidRPr="001E7605">
        <w:t>Digidata</w:t>
      </w:r>
      <w:proofErr w:type="spellEnd"/>
      <w:r w:rsidRPr="001E7605">
        <w:t xml:space="preserve"> 1550B, Molecular Devices</w:t>
      </w:r>
      <w:r w:rsidR="006C33C1" w:rsidRPr="001E7605">
        <w:t>, Foster City, USA</w:t>
      </w:r>
      <w:r w:rsidRPr="001E7605">
        <w:t xml:space="preserve">). The experiments were performed at 32 ºC </w:t>
      </w:r>
      <w:r w:rsidR="004340AE" w:rsidRPr="001E7605">
        <w:t>(</w:t>
      </w:r>
      <w:r w:rsidRPr="001E7605">
        <w:t xml:space="preserve">TC324 </w:t>
      </w:r>
      <w:r w:rsidR="004340AE" w:rsidRPr="001E7605">
        <w:t xml:space="preserve">temperature controller, </w:t>
      </w:r>
      <w:r w:rsidRPr="001E7605">
        <w:t>Warner instruments).</w:t>
      </w:r>
    </w:p>
    <w:p w14:paraId="15D4E69C" w14:textId="60CFE180" w:rsidR="000B48C9" w:rsidRPr="001E7605" w:rsidRDefault="00345EC2">
      <w:pPr>
        <w:pStyle w:val="TextoTesis"/>
      </w:pPr>
      <w:r w:rsidRPr="001E7605">
        <w:t>In both cases (cell lines and CMs)</w:t>
      </w:r>
      <w:r w:rsidR="000B48C9" w:rsidRPr="001E7605">
        <w:t xml:space="preserve">, pipettes were made from borosilicate glass capillaries (GD-1, </w:t>
      </w:r>
      <w:proofErr w:type="spellStart"/>
      <w:r w:rsidR="000B48C9" w:rsidRPr="001E7605">
        <w:t>Narishige</w:t>
      </w:r>
      <w:proofErr w:type="spellEnd"/>
      <w:r w:rsidR="000B48C9" w:rsidRPr="001E7605">
        <w:t xml:space="preserve">, OD: 1 mm; ID 0.6 mm) with a programmable horizontal puller (P-87 or P-1000, Sutter Instruments) and polished with a </w:t>
      </w:r>
      <w:proofErr w:type="spellStart"/>
      <w:r w:rsidR="000B48C9" w:rsidRPr="001E7605">
        <w:t>microforge</w:t>
      </w:r>
      <w:proofErr w:type="spellEnd"/>
      <w:r w:rsidR="000B48C9" w:rsidRPr="001E7605">
        <w:t xml:space="preserve"> for cell lines recordings (MF-83, Narishige). The average pipette tip resistance, previously filled with the internal solution, ranged between 2.5 and 4 MΩ. </w:t>
      </w:r>
      <w:proofErr w:type="spellStart"/>
      <w:r w:rsidR="000B48C9" w:rsidRPr="001E7605">
        <w:t>GigaΩ</w:t>
      </w:r>
      <w:proofErr w:type="spellEnd"/>
      <w:r w:rsidR="000B48C9" w:rsidRPr="001E7605">
        <w:t xml:space="preserve"> seal formation was achieved by suction (2-5 GΩ). After seal formation, the whole-cell configuration was achieved by an additional suction. A series resistance compensation of 80-90% was </w:t>
      </w:r>
      <w:r w:rsidRPr="001E7605">
        <w:t>reached</w:t>
      </w:r>
      <w:r w:rsidR="000B48C9" w:rsidRPr="001E7605">
        <w:t xml:space="preserve">. Data were recorded using </w:t>
      </w:r>
      <w:proofErr w:type="spellStart"/>
      <w:r w:rsidR="000B48C9" w:rsidRPr="001E7605">
        <w:rPr>
          <w:smallCaps/>
        </w:rPr>
        <w:t>pClamp</w:t>
      </w:r>
      <w:proofErr w:type="spellEnd"/>
      <w:r w:rsidR="000B48C9" w:rsidRPr="001E7605">
        <w:t xml:space="preserve"> 11.0 within </w:t>
      </w:r>
      <w:proofErr w:type="spellStart"/>
      <w:r w:rsidR="000B48C9" w:rsidRPr="001E7605">
        <w:rPr>
          <w:smallCaps/>
        </w:rPr>
        <w:t>clampex</w:t>
      </w:r>
      <w:proofErr w:type="spellEnd"/>
      <w:r w:rsidR="000B48C9" w:rsidRPr="001E7605">
        <w:t xml:space="preserve"> 11.0 and analysed with </w:t>
      </w:r>
      <w:proofErr w:type="spellStart"/>
      <w:r w:rsidR="000B48C9" w:rsidRPr="001E7605">
        <w:rPr>
          <w:smallCaps/>
        </w:rPr>
        <w:t>clampfit</w:t>
      </w:r>
      <w:proofErr w:type="spellEnd"/>
      <w:r w:rsidR="000B48C9" w:rsidRPr="001E7605">
        <w:t xml:space="preserve"> 11.1 (</w:t>
      </w:r>
      <w:r w:rsidR="006C33C1" w:rsidRPr="001E7605">
        <w:t>Molecular Devices</w:t>
      </w:r>
      <w:r w:rsidR="000B48C9" w:rsidRPr="001E7605">
        <w:t xml:space="preserve">, Foster City, USA). In addition, Origin 2020 (Origin-Lab Co) and </w:t>
      </w:r>
      <w:proofErr w:type="spellStart"/>
      <w:r w:rsidR="000B48C9" w:rsidRPr="001E7605">
        <w:rPr>
          <w:smallCaps/>
        </w:rPr>
        <w:t>clampfit</w:t>
      </w:r>
      <w:proofErr w:type="spellEnd"/>
      <w:r w:rsidR="000B48C9" w:rsidRPr="001E7605" w:rsidDel="00A76492">
        <w:t xml:space="preserve"> </w:t>
      </w:r>
      <w:r w:rsidR="000B48C9" w:rsidRPr="001E7605">
        <w:t xml:space="preserve">11.1 were used to perform least squares fitting as well as in data presentation. GraphPad Prism 9 was used for data presentation. In </w:t>
      </w:r>
      <w:r w:rsidRPr="001E7605">
        <w:t>CMs</w:t>
      </w:r>
      <w:r w:rsidR="000B48C9" w:rsidRPr="001E7605">
        <w:t>, current amplitudes were normalized to the cell capacitance and expressed as</w:t>
      </w:r>
      <w:r w:rsidRPr="001E7605">
        <w:t xml:space="preserve"> current</w:t>
      </w:r>
      <w:r w:rsidR="000B48C9" w:rsidRPr="001E7605">
        <w:t xml:space="preserve"> densities (</w:t>
      </w:r>
      <w:proofErr w:type="spellStart"/>
      <w:r w:rsidR="000B48C9" w:rsidRPr="001E7605">
        <w:t>pA</w:t>
      </w:r>
      <w:proofErr w:type="spellEnd"/>
      <w:r w:rsidR="000B48C9" w:rsidRPr="001E7605">
        <w:t xml:space="preserve">/pF). </w:t>
      </w:r>
    </w:p>
    <w:p w14:paraId="743534F8" w14:textId="77777777" w:rsidR="00345EC2" w:rsidRPr="001E7605" w:rsidRDefault="00345EC2">
      <w:pPr>
        <w:pStyle w:val="TextoTesis"/>
      </w:pPr>
    </w:p>
    <w:p w14:paraId="239FB28F" w14:textId="611956C0" w:rsidR="000B48C9" w:rsidRPr="001E7605" w:rsidRDefault="000B48C9" w:rsidP="00FF720A">
      <w:pPr>
        <w:pStyle w:val="Ttulo3Tesis"/>
      </w:pPr>
      <w:bookmarkStart w:id="21" w:name="_Toc145663646"/>
      <w:r w:rsidRPr="001E7605">
        <w:t>Experimental protocols</w:t>
      </w:r>
      <w:bookmarkEnd w:id="21"/>
    </w:p>
    <w:p w14:paraId="4091E128" w14:textId="37CF3E03" w:rsidR="000B48C9" w:rsidRPr="001E7605" w:rsidRDefault="000B48C9" w:rsidP="0082688A">
      <w:pPr>
        <w:pStyle w:val="Heading2"/>
        <w:spacing w:line="276" w:lineRule="auto"/>
        <w:rPr>
          <w:color w:val="000000" w:themeColor="text1"/>
          <w:lang w:val="en-GB"/>
        </w:rPr>
      </w:pPr>
      <w:bookmarkStart w:id="22" w:name="_Toc145663647"/>
      <w:r w:rsidRPr="001E7605">
        <w:rPr>
          <w:color w:val="000000" w:themeColor="text1"/>
          <w:lang w:val="en-GB"/>
        </w:rPr>
        <w:t>HEK293 and CHO recordings</w:t>
      </w:r>
      <w:bookmarkEnd w:id="22"/>
    </w:p>
    <w:p w14:paraId="7E93B2BF" w14:textId="1FBB5158" w:rsidR="000B48C9" w:rsidRPr="001E7605" w:rsidRDefault="000B48C9">
      <w:pPr>
        <w:pStyle w:val="TextoTesis"/>
      </w:pPr>
      <w:r w:rsidRPr="001E7605">
        <w:t>For K</w:t>
      </w:r>
      <w:r w:rsidRPr="001E7605">
        <w:rPr>
          <w:vertAlign w:val="subscript"/>
        </w:rPr>
        <w:t>V</w:t>
      </w:r>
      <w:r w:rsidRPr="001E7605">
        <w:t xml:space="preserve">1.5 currents, current-voltage (I-V) relationships were obtained after applying a 250 </w:t>
      </w:r>
      <w:proofErr w:type="spellStart"/>
      <w:r w:rsidRPr="001E7605">
        <w:t>ms</w:t>
      </w:r>
      <w:proofErr w:type="spellEnd"/>
      <w:r w:rsidRPr="001E7605">
        <w:t xml:space="preserve"> pulse in 10 mV increments from -80 to +60 mV from a -80 mV holding potential followed by a 250 </w:t>
      </w:r>
      <w:proofErr w:type="spellStart"/>
      <w:r w:rsidRPr="001E7605">
        <w:t>ms</w:t>
      </w:r>
      <w:proofErr w:type="spellEnd"/>
      <w:r w:rsidRPr="001E7605">
        <w:t xml:space="preserve"> pulse at -40 mV in which the closing of the channels can be measured</w:t>
      </w:r>
      <w:r w:rsidR="00655917" w:rsidRPr="001E7605">
        <w:t xml:space="preserve"> </w:t>
      </w:r>
      <w:r w:rsidR="00655917" w:rsidRPr="00A945AB">
        <w:t>at a frequency of 0.1 Hz</w:t>
      </w:r>
      <w:r w:rsidRPr="001E7605">
        <w:t>. For K</w:t>
      </w:r>
      <w:r w:rsidRPr="001E7605">
        <w:rPr>
          <w:vertAlign w:val="subscript"/>
        </w:rPr>
        <w:t>V</w:t>
      </w:r>
      <w:r w:rsidRPr="001E7605">
        <w:t xml:space="preserve">4.3 currents, current-voltage (I-V) recordings were obtained following the application of a 250 </w:t>
      </w:r>
      <w:proofErr w:type="spellStart"/>
      <w:r w:rsidRPr="001E7605">
        <w:t>ms</w:t>
      </w:r>
      <w:proofErr w:type="spellEnd"/>
      <w:r w:rsidRPr="001E7605">
        <w:t xml:space="preserve"> pulse in 10 mV increments from -80 to +60 mV from a -80 mV holding potential preceded by a 250 </w:t>
      </w:r>
      <w:proofErr w:type="spellStart"/>
      <w:r w:rsidRPr="001E7605">
        <w:t>ms</w:t>
      </w:r>
      <w:proofErr w:type="spellEnd"/>
      <w:r w:rsidRPr="001E7605">
        <w:t xml:space="preserve"> pulse at -100 mV in order to prevent the run-down of the current</w:t>
      </w:r>
      <w:r w:rsidR="00655917" w:rsidRPr="001E7605">
        <w:t xml:space="preserve"> </w:t>
      </w:r>
      <w:r w:rsidRPr="001E7605">
        <w:t xml:space="preserve"> </w:t>
      </w:r>
      <w:r w:rsidRPr="001E7605">
        <w:fldChar w:fldCharType="begin"/>
      </w:r>
      <w:r w:rsidR="00A974DD" w:rsidRPr="001E7605">
        <w:instrText xml:space="preserve"> ADDIN ZOTERO_ITEM CSL_CITATION {"citationID":"ZszTMxcV","properties":{"formattedCitation":"\\super 18\\nosupersub{}","plainCitation":"18","noteIndex":0},"citationItems":[{"id":247,"uris":["http://zotero.org/users/10967336/items/83IJSEWK",["http://zotero.org/users/10967336/items/83IJSEWK"]],"itemData":{"id":247,"type":"article-journal","container-title":"Synapse","DOI":"10.1002/syn.10185","ISSN":"0887-4476, 1098-2396","issue":"2","journalAbbreviation":"Synapse","language":"en","page":"57-65","source":"DOI.org (Crossref)","title":"Rundown of a transient potassium current is attributable to changes in channel voltage dependence","volume":"48","author":[{"family":"Hattori","given":"Satoko"},{"family":"Murakami","given":"Fujio"},{"family":"Song","given":"Wen-Jie"}],"issued":{"date-parts":[["2003",5]]}}}],"schema":"https://github.com/citation-style-language/schema/raw/master/csl-citation.json"} </w:instrText>
      </w:r>
      <w:r w:rsidRPr="001E7605">
        <w:fldChar w:fldCharType="separate"/>
      </w:r>
      <w:r w:rsidR="00A974DD" w:rsidRPr="001E7605">
        <w:rPr>
          <w:rFonts w:cs="Times New Roman"/>
          <w:szCs w:val="24"/>
          <w:vertAlign w:val="superscript"/>
        </w:rPr>
        <w:t>18</w:t>
      </w:r>
      <w:r w:rsidRPr="001E7605">
        <w:fldChar w:fldCharType="end"/>
      </w:r>
      <w:r w:rsidR="00655917" w:rsidRPr="001E7605">
        <w:t xml:space="preserve"> </w:t>
      </w:r>
      <w:r w:rsidR="00655917" w:rsidRPr="00A945AB">
        <w:t>at a frequency of 0.1 Hz</w:t>
      </w:r>
      <w:r w:rsidRPr="001E7605">
        <w:t>. I-V relationships represent the current amplitude at the end of the depolarizing pulse (K</w:t>
      </w:r>
      <w:r w:rsidRPr="001E7605">
        <w:rPr>
          <w:vertAlign w:val="subscript"/>
        </w:rPr>
        <w:t>V</w:t>
      </w:r>
      <w:r w:rsidRPr="001E7605">
        <w:t>1.5) or at the maximum peak (K</w:t>
      </w:r>
      <w:r w:rsidRPr="001E7605">
        <w:rPr>
          <w:vertAlign w:val="subscript"/>
        </w:rPr>
        <w:t>V</w:t>
      </w:r>
      <w:r w:rsidRPr="001E7605">
        <w:t>4.x) at each membrane potential tested.</w:t>
      </w:r>
    </w:p>
    <w:p w14:paraId="033D3789" w14:textId="7C0B11D6" w:rsidR="000B48C9" w:rsidRPr="001E7605" w:rsidRDefault="000B48C9">
      <w:pPr>
        <w:pStyle w:val="TextoTesis"/>
      </w:pPr>
      <w:r w:rsidRPr="001E7605">
        <w:t>Activation curves for K</w:t>
      </w:r>
      <w:r w:rsidRPr="001E7605">
        <w:rPr>
          <w:vertAlign w:val="subscript"/>
        </w:rPr>
        <w:t>V</w:t>
      </w:r>
      <w:r w:rsidRPr="001E7605">
        <w:t xml:space="preserve">1.5 channels were obtained by representing the </w:t>
      </w:r>
      <w:r w:rsidR="00E90FB1" w:rsidRPr="001E7605">
        <w:t xml:space="preserve">normalized </w:t>
      </w:r>
      <w:r w:rsidRPr="001E7605">
        <w:t xml:space="preserve">maximum amplitude of the tail current </w:t>
      </w:r>
      <w:r w:rsidR="00E90FB1" w:rsidRPr="001E7605">
        <w:t>versus the previous</w:t>
      </w:r>
      <w:r w:rsidRPr="001E7605">
        <w:t xml:space="preserve"> depolarizing membrane potential applied. For K</w:t>
      </w:r>
      <w:r w:rsidRPr="001E7605">
        <w:rPr>
          <w:vertAlign w:val="subscript"/>
        </w:rPr>
        <w:t>V</w:t>
      </w:r>
      <w:r w:rsidRPr="001E7605">
        <w:t>4.x currents, the activation curve was obtained after representing the conductance of K</w:t>
      </w:r>
      <w:r w:rsidRPr="001E7605">
        <w:rPr>
          <w:vertAlign w:val="subscript"/>
        </w:rPr>
        <w:t>V</w:t>
      </w:r>
      <w:r w:rsidRPr="001E7605">
        <w:t>4.x channels (G</w:t>
      </w:r>
      <w:r w:rsidRPr="001E7605">
        <w:rPr>
          <w:vertAlign w:val="subscript"/>
        </w:rPr>
        <w:t>Kv4.x</w:t>
      </w:r>
      <w:r w:rsidRPr="001E7605">
        <w:t>) at each membrane potential. G</w:t>
      </w:r>
      <w:r w:rsidRPr="001E7605">
        <w:rPr>
          <w:vertAlign w:val="subscript"/>
        </w:rPr>
        <w:t>Kv4.x</w:t>
      </w:r>
      <w:r w:rsidRPr="001E7605">
        <w:t xml:space="preserve"> was calculated by the Ohm’s law modified for ion channels (G</w:t>
      </w:r>
      <w:r w:rsidRPr="001E7605">
        <w:rPr>
          <w:vertAlign w:val="subscript"/>
        </w:rPr>
        <w:t>Kv4.x</w:t>
      </w:r>
      <w:r w:rsidRPr="001E7605">
        <w:t xml:space="preserve"> = I</w:t>
      </w:r>
      <w:r w:rsidRPr="001E7605">
        <w:rPr>
          <w:vertAlign w:val="subscript"/>
        </w:rPr>
        <w:t>Kv4.</w:t>
      </w:r>
      <w:r w:rsidR="00143AB9" w:rsidRPr="001E7605">
        <w:rPr>
          <w:vertAlign w:val="subscript"/>
        </w:rPr>
        <w:t>x</w:t>
      </w:r>
      <w:r w:rsidR="00670D72" w:rsidRPr="001E7605">
        <w:t>/</w:t>
      </w:r>
      <w:r w:rsidRPr="001E7605">
        <w:t>(E</w:t>
      </w:r>
      <w:r w:rsidRPr="001E7605">
        <w:rPr>
          <w:vertAlign w:val="subscript"/>
        </w:rPr>
        <w:t>m</w:t>
      </w:r>
      <w:r w:rsidRPr="001E7605">
        <w:t xml:space="preserve"> – E</w:t>
      </w:r>
      <w:r w:rsidRPr="001E7605">
        <w:rPr>
          <w:vertAlign w:val="subscript"/>
        </w:rPr>
        <w:t>rev</w:t>
      </w:r>
      <w:r w:rsidRPr="001E7605">
        <w:t>), where I</w:t>
      </w:r>
      <w:r w:rsidRPr="001E7605">
        <w:rPr>
          <w:vertAlign w:val="subscript"/>
        </w:rPr>
        <w:t>Kv4.x</w:t>
      </w:r>
      <w:r w:rsidRPr="001E7605">
        <w:t xml:space="preserve"> is the current at the maximum peak, E</w:t>
      </w:r>
      <w:r w:rsidRPr="001E7605">
        <w:rPr>
          <w:vertAlign w:val="subscript"/>
        </w:rPr>
        <w:t>m</w:t>
      </w:r>
      <w:r w:rsidRPr="001E7605">
        <w:t xml:space="preserve"> is the membrane potential applied and E</w:t>
      </w:r>
      <w:r w:rsidRPr="001E7605">
        <w:rPr>
          <w:vertAlign w:val="subscript"/>
        </w:rPr>
        <w:t>rev</w:t>
      </w:r>
      <w:r w:rsidRPr="001E7605">
        <w:t xml:space="preserve"> is the reversal potential</w:t>
      </w:r>
      <w:r w:rsidR="00143AB9" w:rsidRPr="001E7605">
        <w:t xml:space="preserve"> (fixed at -85mV</w:t>
      </w:r>
      <w:r w:rsidRPr="001E7605">
        <w:t xml:space="preserve"> </w:t>
      </w:r>
      <w:r w:rsidR="00143AB9" w:rsidRPr="001E7605">
        <w:t>a</w:t>
      </w:r>
      <w:r w:rsidRPr="001E7605">
        <w:t>ccording to Chae et al.,</w:t>
      </w:r>
      <w:r w:rsidR="001369AC" w:rsidRPr="001E7605">
        <w:t xml:space="preserve"> 2014 </w:t>
      </w:r>
      <w:r w:rsidR="001369AC" w:rsidRPr="001E7605">
        <w:fldChar w:fldCharType="begin"/>
      </w:r>
      <w:r w:rsidR="001369AC" w:rsidRPr="001E7605">
        <w:instrText xml:space="preserve"> ADDIN ZOTERO_ITEM CSL_CITATION {"citationID":"PYi5prK3","properties":{"formattedCitation":"\\super 19\\nosupersub{}","plainCitation":"19","noteIndex":0},"citationItems":[{"id":567,"uris":["http://zotero.org/users/10967336/items/VQTW7PSM"],"itemData":{"id":567,"type":"article-journal","container-title":"Neuroscience Letters","DOI":"10.1016/j.neulet.2014.06.045","ISSN":"03043940","journalAbbreviation":"Neuroscience Letters","language":"en","page":"159-164","source":"DOI.org (Crossref)","title":"Block of Kv4.3 potassium channel by trifluoperazine independent of CaMKII","volume":"578","author":[{"family":"Chae","given":"Yun Ju"},{"family":"Choi","given":"Bok Hee"},{"family":"Choi","given":"Jin-Sung"},{"family":"Hahn","given":"Sang June"}],"issued":{"date-parts":[["2014",8]]}}}],"schema":"https://github.com/citation-style-language/schema/raw/master/csl-citation.json"} </w:instrText>
      </w:r>
      <w:r w:rsidR="001369AC" w:rsidRPr="001E7605">
        <w:fldChar w:fldCharType="separate"/>
      </w:r>
      <w:r w:rsidR="001369AC" w:rsidRPr="001E7605">
        <w:rPr>
          <w:rFonts w:cs="Times New Roman"/>
          <w:szCs w:val="24"/>
          <w:vertAlign w:val="superscript"/>
        </w:rPr>
        <w:t>19</w:t>
      </w:r>
      <w:r w:rsidR="001369AC" w:rsidRPr="001E7605">
        <w:fldChar w:fldCharType="end"/>
      </w:r>
      <w:r w:rsidR="001369AC" w:rsidRPr="001E7605">
        <w:t>.</w:t>
      </w:r>
    </w:p>
    <w:p w14:paraId="5E8836D8" w14:textId="34B3531D" w:rsidR="000B48C9" w:rsidRPr="001E7605" w:rsidRDefault="000B48C9">
      <w:pPr>
        <w:pStyle w:val="TextoTesis"/>
      </w:pPr>
      <w:r w:rsidRPr="001E7605">
        <w:t xml:space="preserve">In both cases, </w:t>
      </w:r>
      <w:r w:rsidR="001668A0" w:rsidRPr="00A945AB">
        <w:t xml:space="preserve">a Boltzmann equation was fitted to obtain </w:t>
      </w:r>
      <w:r w:rsidRPr="00A945AB">
        <w:t>the voltage dependence of activation</w:t>
      </w:r>
      <w:r w:rsidRPr="001E7605">
        <w:t>:</w:t>
      </w:r>
    </w:p>
    <w:p w14:paraId="2AACDF87" w14:textId="5E886091" w:rsidR="000B48C9" w:rsidRPr="001E7605" w:rsidRDefault="000B48C9">
      <w:pPr>
        <w:pStyle w:val="TextoTesis"/>
        <w:rPr>
          <w:rFonts w:eastAsiaTheme="minorEastAsia"/>
        </w:rPr>
      </w:pPr>
      <m:oMathPara>
        <m:oMath>
          <m:r>
            <w:rPr>
              <w:rFonts w:ascii="Cambria Math" w:hAnsi="Cambria Math"/>
            </w:rPr>
            <w:lastRenderedPageBreak/>
            <m:t>y</m:t>
          </m:r>
          <m:r>
            <m:rPr>
              <m:sty m:val="p"/>
            </m:rPr>
            <w:rPr>
              <w:rFonts w:ascii="Cambria Math" w:hAnsi="Cambria Math"/>
            </w:rPr>
            <m:t>=1/[1+</m:t>
          </m:r>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f>
                    <m:fPr>
                      <m:type m:val="lin"/>
                      <m:ctrlPr>
                        <w:rPr>
                          <w:rFonts w:ascii="Cambria Math" w:hAnsi="Cambria Math"/>
                        </w:rPr>
                      </m:ctrlPr>
                    </m:fPr>
                    <m:num>
                      <m:r>
                        <m:rPr>
                          <m:sty m:val="p"/>
                        </m:rP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m</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1/2</m:t>
                          </m:r>
                        </m:sub>
                      </m:sSub>
                    </m:num>
                    <m:den>
                      <m:r>
                        <w:rPr>
                          <w:rFonts w:ascii="Cambria Math" w:hAnsi="Cambria Math"/>
                        </w:rPr>
                        <m:t>s</m:t>
                      </m:r>
                    </m:den>
                  </m:f>
                  <m:r>
                    <w:rPr>
                      <w:rFonts w:ascii="Cambria Math" w:hAnsi="Cambria Math"/>
                    </w:rPr>
                    <m:t>)</m:t>
                  </m:r>
                </m:e>
              </m:d>
            </m:e>
          </m:func>
          <m:r>
            <m:rPr>
              <m:sty m:val="p"/>
            </m:rPr>
            <w:rPr>
              <w:rFonts w:ascii="Cambria Math" w:hAnsi="Cambria Math"/>
            </w:rPr>
            <m:t>]</m:t>
          </m:r>
        </m:oMath>
      </m:oMathPara>
    </w:p>
    <w:p w14:paraId="45080D78" w14:textId="4CB84D6B" w:rsidR="000B48C9" w:rsidRPr="001E7605" w:rsidRDefault="000B48C9">
      <w:pPr>
        <w:pStyle w:val="TextoTesis"/>
      </w:pPr>
      <w:r w:rsidRPr="001E7605">
        <w:t>in which s represents the slope factor, E</w:t>
      </w:r>
      <w:r w:rsidR="006F2999" w:rsidRPr="001E7605">
        <w:rPr>
          <w:vertAlign w:val="subscript"/>
        </w:rPr>
        <w:t>m</w:t>
      </w:r>
      <w:r w:rsidRPr="001E7605">
        <w:t xml:space="preserve"> represents the membrane potential, and </w:t>
      </w:r>
      <w:proofErr w:type="spellStart"/>
      <w:r w:rsidRPr="001E7605">
        <w:t>V</w:t>
      </w:r>
      <w:r w:rsidRPr="001E7605">
        <w:rPr>
          <w:vertAlign w:val="subscript"/>
        </w:rPr>
        <w:t>mid</w:t>
      </w:r>
      <w:proofErr w:type="spellEnd"/>
      <w:r w:rsidRPr="001E7605">
        <w:t xml:space="preserve"> represents the voltage at which 50% of the channels are open.</w:t>
      </w:r>
    </w:p>
    <w:p w14:paraId="60F97CBF" w14:textId="30ED7D22" w:rsidR="000B48C9" w:rsidRPr="001E7605" w:rsidRDefault="000B48C9">
      <w:pPr>
        <w:pStyle w:val="TextoTesis"/>
      </w:pPr>
      <w:r w:rsidRPr="001E7605">
        <w:t xml:space="preserve">Time constants of activation, inactivation and deactivation were obtained </w:t>
      </w:r>
      <w:r w:rsidRPr="00A945AB">
        <w:t xml:space="preserve">by fitting </w:t>
      </w:r>
      <w:r w:rsidR="00D60C2A" w:rsidRPr="00A945AB">
        <w:t xml:space="preserve">a single or double exponential function to </w:t>
      </w:r>
      <w:r w:rsidRPr="00A945AB">
        <w:t>the current traces</w:t>
      </w:r>
      <w:r w:rsidRPr="001E7605">
        <w:t>, depending on its characteristics:</w:t>
      </w:r>
    </w:p>
    <w:p w14:paraId="5E33A884" w14:textId="21F69E05" w:rsidR="000B48C9" w:rsidRPr="001E7605" w:rsidRDefault="000B48C9">
      <w:pPr>
        <w:pStyle w:val="TextoTesis"/>
      </w:pPr>
      <m:oMathPara>
        <m:oMath>
          <m:r>
            <w:rPr>
              <w:rFonts w:ascii="Cambria Math" w:hAnsi="Cambria Math"/>
            </w:rPr>
            <m:t>y</m:t>
          </m:r>
          <m:r>
            <m:rPr>
              <m:sty m:val="p"/>
            </m:rP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f>
                    <m:fPr>
                      <m:type m:val="lin"/>
                      <m:ctrlPr>
                        <w:rPr>
                          <w:rFonts w:ascii="Cambria Math" w:hAnsi="Cambria Math"/>
                        </w:rPr>
                      </m:ctrlPr>
                    </m:fPr>
                    <m:num>
                      <m:r>
                        <w:rPr>
                          <w:rFonts w:ascii="Cambria Math" w:hAnsi="Cambria Math"/>
                        </w:rPr>
                        <m:t>t</m:t>
                      </m:r>
                    </m:num>
                    <m:den>
                      <m:sSub>
                        <m:sSubPr>
                          <m:ctrlPr>
                            <w:rPr>
                              <w:rFonts w:ascii="Cambria Math" w:hAnsi="Cambria Math"/>
                              <w:i/>
                            </w:rPr>
                          </m:ctrlPr>
                        </m:sSubPr>
                        <m:e>
                          <m:r>
                            <w:rPr>
                              <w:rFonts w:ascii="Cambria Math" w:hAnsi="Cambria Math"/>
                            </w:rPr>
                            <m:t>τ</m:t>
                          </m:r>
                        </m:e>
                        <m:sub>
                          <m:r>
                            <w:rPr>
                              <w:rFonts w:ascii="Cambria Math" w:hAnsi="Cambria Math"/>
                            </w:rPr>
                            <m:t>s</m:t>
                          </m:r>
                        </m:sub>
                      </m:sSub>
                    </m:den>
                  </m:f>
                </m:e>
              </m:d>
            </m:e>
          </m:func>
          <m:r>
            <m:rPr>
              <m:sty m:val="p"/>
            </m:rP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f</m:t>
              </m:r>
            </m:sub>
          </m:sSub>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f>
                    <m:fPr>
                      <m:type m:val="lin"/>
                      <m:ctrlPr>
                        <w:rPr>
                          <w:rFonts w:ascii="Cambria Math" w:hAnsi="Cambria Math"/>
                        </w:rPr>
                      </m:ctrlPr>
                    </m:fPr>
                    <m:num>
                      <m:r>
                        <w:rPr>
                          <w:rFonts w:ascii="Cambria Math" w:hAnsi="Cambria Math"/>
                        </w:rPr>
                        <m:t>t</m:t>
                      </m:r>
                    </m:num>
                    <m:den>
                      <m:sSub>
                        <m:sSubPr>
                          <m:ctrlPr>
                            <w:rPr>
                              <w:rFonts w:ascii="Cambria Math" w:hAnsi="Cambria Math"/>
                              <w:i/>
                            </w:rPr>
                          </m:ctrlPr>
                        </m:sSubPr>
                        <m:e>
                          <m:r>
                            <w:rPr>
                              <w:rFonts w:ascii="Cambria Math" w:hAnsi="Cambria Math"/>
                            </w:rPr>
                            <m:t>τ</m:t>
                          </m:r>
                        </m:e>
                        <m:sub>
                          <m:r>
                            <w:rPr>
                              <w:rFonts w:ascii="Cambria Math" w:hAnsi="Cambria Math"/>
                            </w:rPr>
                            <m:t>f</m:t>
                          </m:r>
                        </m:sub>
                      </m:sSub>
                    </m:den>
                  </m:f>
                </m:e>
              </m:d>
            </m:e>
          </m:func>
          <m:r>
            <m:rPr>
              <m:sty m:val="p"/>
            </m:rPr>
            <w:rPr>
              <w:rFonts w:ascii="Cambria Math" w:hAnsi="Cambria Math"/>
            </w:rPr>
            <m:t>+</m:t>
          </m:r>
          <m:r>
            <w:rPr>
              <w:rFonts w:ascii="Cambria Math" w:hAnsi="Cambria Math"/>
            </w:rPr>
            <m:t>C</m:t>
          </m:r>
        </m:oMath>
      </m:oMathPara>
    </w:p>
    <w:p w14:paraId="7ED4B6D3" w14:textId="0D18F83E" w:rsidR="000B48C9" w:rsidRPr="001E7605" w:rsidRDefault="000B48C9">
      <w:pPr>
        <w:pStyle w:val="TextoTesis"/>
      </w:pPr>
      <w:r w:rsidRPr="001E7605">
        <w:t xml:space="preserve">where </w:t>
      </w:r>
      <w:proofErr w:type="spellStart"/>
      <w:r w:rsidRPr="001E7605">
        <w:t>τ</w:t>
      </w:r>
      <w:r w:rsidRPr="001E7605">
        <w:rPr>
          <w:vertAlign w:val="subscript"/>
        </w:rPr>
        <w:t>s</w:t>
      </w:r>
      <w:proofErr w:type="spellEnd"/>
      <w:r w:rsidRPr="001E7605">
        <w:t xml:space="preserve"> and </w:t>
      </w:r>
      <w:proofErr w:type="spellStart"/>
      <w:r w:rsidRPr="001E7605">
        <w:t>τ</w:t>
      </w:r>
      <w:r w:rsidR="00D41083" w:rsidRPr="001E7605">
        <w:rPr>
          <w:vertAlign w:val="subscript"/>
        </w:rPr>
        <w:t>f</w:t>
      </w:r>
      <w:proofErr w:type="spellEnd"/>
      <w:r w:rsidRPr="001E7605">
        <w:t xml:space="preserve"> are the system time constants (slow and fast, respectively), A</w:t>
      </w:r>
      <w:r w:rsidRPr="001E7605">
        <w:rPr>
          <w:vertAlign w:val="subscript"/>
        </w:rPr>
        <w:t xml:space="preserve">s </w:t>
      </w:r>
      <w:r w:rsidRPr="001E7605">
        <w:t xml:space="preserve">and </w:t>
      </w:r>
      <w:proofErr w:type="spellStart"/>
      <w:r w:rsidRPr="001E7605">
        <w:t>A</w:t>
      </w:r>
      <w:r w:rsidRPr="001E7605">
        <w:rPr>
          <w:vertAlign w:val="subscript"/>
        </w:rPr>
        <w:t>f</w:t>
      </w:r>
      <w:proofErr w:type="spellEnd"/>
      <w:r w:rsidRPr="001E7605">
        <w:rPr>
          <w:vertAlign w:val="subscript"/>
        </w:rPr>
        <w:t xml:space="preserve"> </w:t>
      </w:r>
      <w:r w:rsidRPr="001E7605">
        <w:t>are the amplitudes of each component of the exponential, and C is the baseline value.</w:t>
      </w:r>
    </w:p>
    <w:p w14:paraId="0579B53D" w14:textId="01EBA980" w:rsidR="000B48C9" w:rsidRPr="001E7605" w:rsidRDefault="000B48C9">
      <w:pPr>
        <w:pStyle w:val="TextoTesis"/>
      </w:pPr>
      <w:r w:rsidRPr="001E7605">
        <w:t>In order to study the effects of Lgi3-4 in the inactivation of K</w:t>
      </w:r>
      <w:r w:rsidRPr="001E7605">
        <w:rPr>
          <w:vertAlign w:val="subscript"/>
        </w:rPr>
        <w:t>V</w:t>
      </w:r>
      <w:r w:rsidRPr="001E7605">
        <w:t>1.5 in the presence of K</w:t>
      </w:r>
      <w:r w:rsidRPr="001E7605">
        <w:rPr>
          <w:vertAlign w:val="subscript"/>
        </w:rPr>
        <w:t>V</w:t>
      </w:r>
      <w:r w:rsidRPr="001E7605">
        <w:t xml:space="preserve">β1.x subunits, different approaches were carried out. Firstly, 250 </w:t>
      </w:r>
      <w:proofErr w:type="spellStart"/>
      <w:r w:rsidRPr="001E7605">
        <w:t>ms</w:t>
      </w:r>
      <w:proofErr w:type="spellEnd"/>
      <w:r w:rsidRPr="001E7605">
        <w:t xml:space="preserve"> depolarizing pulses at 140 mV were applied in order to measure whether K</w:t>
      </w:r>
      <w:r w:rsidRPr="001E7605">
        <w:rPr>
          <w:vertAlign w:val="subscript"/>
        </w:rPr>
        <w:t>V</w:t>
      </w:r>
      <w:r w:rsidRPr="001E7605">
        <w:t>β1.x subunits were still bound to K</w:t>
      </w:r>
      <w:r w:rsidRPr="001E7605">
        <w:rPr>
          <w:vertAlign w:val="subscript"/>
        </w:rPr>
        <w:t>V</w:t>
      </w:r>
      <w:r w:rsidRPr="001E7605">
        <w:t>1.5 channels</w:t>
      </w:r>
      <w:r w:rsidR="00D41083" w:rsidRPr="001E7605">
        <w:t xml:space="preserve"> in those cases in which the ß subunit-mediated inactivation properties were </w:t>
      </w:r>
      <w:proofErr w:type="spellStart"/>
      <w:r w:rsidR="00D41083" w:rsidRPr="001E7605">
        <w:t>dimished</w:t>
      </w:r>
      <w:proofErr w:type="spellEnd"/>
      <w:r w:rsidRPr="001E7605">
        <w:t xml:space="preserve">. Secondly, to study the voltage-dependent effects on the N-type inactivation, a 10 </w:t>
      </w:r>
      <w:proofErr w:type="spellStart"/>
      <w:r w:rsidRPr="001E7605">
        <w:t>ms</w:t>
      </w:r>
      <w:proofErr w:type="spellEnd"/>
      <w:r w:rsidRPr="001E7605">
        <w:t xml:space="preserve"> pulse in 10 mV increments from -80 to +150 mV from a holding potential of -80 mV followed by a 250 </w:t>
      </w:r>
      <w:proofErr w:type="spellStart"/>
      <w:r w:rsidRPr="001E7605">
        <w:t>ms</w:t>
      </w:r>
      <w:proofErr w:type="spellEnd"/>
      <w:r w:rsidRPr="001E7605">
        <w:t xml:space="preserve"> at 50 mV. </w:t>
      </w:r>
      <w:r w:rsidR="001668A0" w:rsidRPr="00A945AB">
        <w:t>A Boltzmann equation was fitted to obtain t</w:t>
      </w:r>
      <w:r w:rsidRPr="00A945AB">
        <w:t>he voltage dependence of inactivation</w:t>
      </w:r>
      <w:r w:rsidR="001668A0" w:rsidRPr="001E7605">
        <w:t xml:space="preserve">, </w:t>
      </w:r>
      <w:r w:rsidR="00D41083" w:rsidRPr="001E7605">
        <w:t>as</w:t>
      </w:r>
      <w:r w:rsidRPr="001E7605">
        <w:t xml:space="preserve"> previously described</w:t>
      </w:r>
      <w:r w:rsidR="001369AC" w:rsidRPr="001E7605">
        <w:t xml:space="preserve"> </w:t>
      </w:r>
      <w:r w:rsidR="001369AC" w:rsidRPr="001E7605">
        <w:fldChar w:fldCharType="begin"/>
      </w:r>
      <w:r w:rsidR="001369AC" w:rsidRPr="001E7605">
        <w:instrText xml:space="preserve"> ADDIN ZOTERO_ITEM CSL_CITATION {"citationID":"KGFXFimf","properties":{"formattedCitation":"\\super 20\\nosupersub{}","plainCitation":"20","noteIndex":0},"citationItems":[{"id":130,"uris":["http://zotero.org/users/10967336/items/97CBUXLC"],"itemData":{"id":130,"type":"article-journal","container-title":"British Journal of Pharmacology","DOI":"10.1111/bph.12822","ISSN":"00071188","issue":"21","journalAbbreviation":"Br J Pharmacol","language":"en","page":"4914-4926","source":"DOI.org (Crossref)","title":"PKC inhibition results in a K &lt;sub&gt;v&lt;/sub&gt; 1.5 + K &lt;sub&gt;v&lt;/sub&gt; β1.3 pharmacology closer to K &lt;sub&gt;v&lt;/sub&gt; 1.5 channels: K &lt;sub&gt;v&lt;/sub&gt; 1.5 + K &lt;sub&gt;v&lt;/sub&gt; β1.3 pharmacology and PKC","title-short":"PKC inhibition results in a K &lt;sub&gt;v&lt;/sub&gt; 1.5 + K &lt;sub&gt;v&lt;/sub&gt; β1.3 pharmacology closer to K &lt;sub&gt;v&lt;/sub&gt; 1.5 channels","volume":"171","author":[{"family":"Macías","given":"A"},{"family":"De La Cruz","given":"A"},{"family":"Prieto","given":"A"},{"family":"Peraza","given":"D A"},{"family":"Tamkun","given":"M M"},{"family":"González","given":"T"},{"family":"Valenzuela","given":"C"}],"issued":{"date-parts":[["2014",11]]}}}],"schema":"https://github.com/citation-style-language/schema/raw/master/csl-citation.json"} </w:instrText>
      </w:r>
      <w:r w:rsidR="001369AC" w:rsidRPr="001E7605">
        <w:fldChar w:fldCharType="separate"/>
      </w:r>
      <w:r w:rsidR="001369AC" w:rsidRPr="001E7605">
        <w:rPr>
          <w:rFonts w:cs="Times New Roman"/>
          <w:szCs w:val="24"/>
          <w:vertAlign w:val="superscript"/>
        </w:rPr>
        <w:t>20</w:t>
      </w:r>
      <w:r w:rsidR="001369AC" w:rsidRPr="001E7605">
        <w:fldChar w:fldCharType="end"/>
      </w:r>
      <w:r w:rsidRPr="001E7605">
        <w:t>.</w:t>
      </w:r>
    </w:p>
    <w:p w14:paraId="292AA7D9" w14:textId="71751367" w:rsidR="000B48C9" w:rsidRPr="001E7605" w:rsidRDefault="000B48C9" w:rsidP="0082688A">
      <w:pPr>
        <w:pStyle w:val="Heading2"/>
        <w:spacing w:line="276" w:lineRule="auto"/>
        <w:rPr>
          <w:lang w:val="en-GB"/>
        </w:rPr>
      </w:pPr>
      <w:bookmarkStart w:id="23" w:name="_Toc145663648"/>
      <w:r w:rsidRPr="001E7605">
        <w:rPr>
          <w:color w:val="000000" w:themeColor="text1"/>
          <w:lang w:val="en-GB"/>
        </w:rPr>
        <w:t>M</w:t>
      </w:r>
      <w:r w:rsidR="005C6A2B" w:rsidRPr="001E7605">
        <w:rPr>
          <w:color w:val="000000" w:themeColor="text1"/>
          <w:lang w:val="en-GB"/>
        </w:rPr>
        <w:t>ouse</w:t>
      </w:r>
      <w:r w:rsidRPr="001E7605">
        <w:rPr>
          <w:color w:val="000000" w:themeColor="text1"/>
          <w:lang w:val="en-GB"/>
        </w:rPr>
        <w:t xml:space="preserve"> ventricular isolated cardiomyocytes recordings</w:t>
      </w:r>
      <w:bookmarkEnd w:id="23"/>
    </w:p>
    <w:p w14:paraId="6475FCA2" w14:textId="77777777" w:rsidR="000B48C9" w:rsidRPr="001E7605" w:rsidRDefault="000B48C9">
      <w:pPr>
        <w:pStyle w:val="TextoTesis"/>
      </w:pPr>
      <w:r w:rsidRPr="001E7605">
        <w:t xml:space="preserve">For action potential (AP) recordings, the threshold current was determined using 1-ms pulses at increasing amplitudes (0.2 </w:t>
      </w:r>
      <w:proofErr w:type="spellStart"/>
      <w:r w:rsidRPr="001E7605">
        <w:t>nA</w:t>
      </w:r>
      <w:proofErr w:type="spellEnd"/>
      <w:r w:rsidRPr="001E7605">
        <w:t>/pulse) and at a frequency of 1 Hz. Thereafter, action potentials (APs) were evoked by the injection of 1-ms pulses of constant amplitude at frequencies ranging from 1 to 10 Hz. AP duration (APD) was measured at 20, 50, 70, and 90% repolarization of the AP.</w:t>
      </w:r>
    </w:p>
    <w:p w14:paraId="1D69B3A9" w14:textId="45DC9EB0" w:rsidR="000B48C9" w:rsidRPr="001E7605" w:rsidRDefault="000B48C9">
      <w:pPr>
        <w:pStyle w:val="TextoTesis"/>
      </w:pPr>
      <w:r w:rsidRPr="001E7605">
        <w:t>For the current-voltage (I-V) recordings</w:t>
      </w:r>
      <w:r w:rsidR="001369AC" w:rsidRPr="001E7605">
        <w:t xml:space="preserve"> </w:t>
      </w:r>
      <w:r w:rsidR="00FE359A" w:rsidRPr="001E7605">
        <w:t xml:space="preserve"> </w:t>
      </w:r>
      <w:r w:rsidRPr="001E7605">
        <w:t>different approaches were carried out to separate the different K</w:t>
      </w:r>
      <w:r w:rsidRPr="001E7605">
        <w:rPr>
          <w:vertAlign w:val="superscript"/>
        </w:rPr>
        <w:t>+</w:t>
      </w:r>
      <w:r w:rsidRPr="001E7605">
        <w:t xml:space="preserve"> currents</w:t>
      </w:r>
      <w:r w:rsidR="001369AC" w:rsidRPr="001E7605">
        <w:t xml:space="preserve">, as previously reported </w:t>
      </w:r>
      <w:r w:rsidR="001369AC" w:rsidRPr="001E7605">
        <w:fldChar w:fldCharType="begin"/>
      </w:r>
      <w:r w:rsidR="001369AC" w:rsidRPr="001E7605">
        <w:instrText xml:space="preserve"> ADDIN ZOTERO_ITEM CSL_CITATION {"citationID":"JUIOwvms","properties":{"formattedCitation":"\\super 17\\nosupersub{}","plainCitation":"17","noteIndex":0},"citationItems":[{"id":252,"uris":["http://zotero.org/users/10967336/items/CF3FI9LU",["http://zotero.org/users/10967336/items/CF3FI9LU"],["http://zotero.org/users/10967336/items/CF3FI9LU",["http://zotero.org/users/10967336/items/CF3FI9LU"]]],"itemData":{"id":252,"type":"article-journal","abstract":"Abstract\n            \n              Aims\n              Hutchinson–Gilford progeria syndrome (HGPS) is an ultrarare laminopathy caused by expression of progerin, a lamin A variant, also present at low levels in non-HGPS individuals. HGPS patients age and die prematurely, predominantly from cardiovascular complications. Progerin-induced cardiac repolarization defects have been described previously, although the underlying mechanisms are unknown.\n            \n            \n              Methods and results\n              We conducted studies in heart tissue from progerin-expressing LmnaG609G/G609G (G609G) mice, including microscopy, intracellular calcium dynamics, patch-clamping, in vivo magnetic resonance imaging, and electrocardiography. G609G mouse cardiomyocytes showed tubulin-cytoskeleton disorganization, t-tubular system disruption, sarcomere shortening, altered excitation–contraction coupling, and reductions in ventricular thickening and cardiac index. G609G mice exhibited severe bradycardia, and significant alterations of atrio-ventricular conduction and repolarization. Most importantly, 50% of G609G mice had altered heart rate variability, and sinoatrial block, both significant signs of premature cardiac aging. G609G cardiomyocytes had electrophysiological alterations, which resulted in an elevated action potential plateau and early afterdepolarization bursting, reflecting slower sodium current inactivation and long Ca+2 transient duration, which may also help explain the mild QT prolongation in some HGPS patients. Chronic treatment with low-dose paclitaxel ameliorated structural and functional alterations in G609G hearts.\n            \n            \n              Conclusions\n              Our results demonstrate that tubulin-cytoskeleton disorganization in progerin-expressing cardiomyocytes causes structural, cardiac conduction, and excitation–contraction coupling defects, all of which can be partially corrected by chronic treatment with low dose paclitaxel.","container-title":"Cardiovascular Research","DOI":"10.1093/cvr/cvab055","ISSN":"0008-6363, 1755-3245","issue":"2","language":"en","page":"503-516","source":"DOI.org (Crossref)","title":"Paclitaxel mitigates structural alterations and cardiac conduction system defects in a mouse model of Hutchinson–Gilford progeria syndrome","volume":"118","author":[{"family":"Macías","given":"Álvaro"},{"family":"Díaz-Larrosa","given":"J Jaime"},{"family":"Blanco","given":"Yaazan"},{"family":"Fanjul","given":"Víctor"},{"family":"González-Gómez","given":"Cristina"},{"family":"Gonzalo","given":"Pilar"},{"family":"Andrés-Manzano","given":"María Jesús"},{"family":"Rocha","given":"Andre Monteiro","non-dropping-particle":"da"},{"family":"Ponce-Balbuena","given":"Daniela"},{"family":"Allan","given":"Andrew"},{"family":"Filgueiras-Rama","given":"David"},{"family":"Jalife","given":"José"},{"family":"Andrés","given":"Vicente"}],"issued":{"date-parts":[["2022",1,29]]}}}],"schema":"https://github.com/citation-style-language/schema/raw/master/csl-citation.json"} </w:instrText>
      </w:r>
      <w:r w:rsidR="001369AC" w:rsidRPr="001E7605">
        <w:fldChar w:fldCharType="separate"/>
      </w:r>
      <w:r w:rsidR="001369AC" w:rsidRPr="001E7605">
        <w:rPr>
          <w:rFonts w:cs="Times New Roman"/>
          <w:szCs w:val="24"/>
          <w:vertAlign w:val="superscript"/>
        </w:rPr>
        <w:t>17</w:t>
      </w:r>
      <w:r w:rsidR="001369AC" w:rsidRPr="001E7605">
        <w:fldChar w:fldCharType="end"/>
      </w:r>
      <w:r w:rsidRPr="001E7605">
        <w:t>. Total K</w:t>
      </w:r>
      <w:r w:rsidRPr="001E7605">
        <w:rPr>
          <w:vertAlign w:val="superscript"/>
        </w:rPr>
        <w:t>+</w:t>
      </w:r>
      <w:r w:rsidRPr="001E7605">
        <w:t xml:space="preserve"> currents in mice cardiomyocytes are composed of the transient outward K</w:t>
      </w:r>
      <w:r w:rsidRPr="001E7605">
        <w:rPr>
          <w:vertAlign w:val="superscript"/>
        </w:rPr>
        <w:t>+</w:t>
      </w:r>
      <w:r w:rsidRPr="001E7605">
        <w:t xml:space="preserve"> current (</w:t>
      </w:r>
      <w:r w:rsidRPr="001E7605">
        <w:rPr>
          <w:i/>
        </w:rPr>
        <w:t>I</w:t>
      </w:r>
      <w:r w:rsidRPr="001E7605">
        <w:rPr>
          <w:vertAlign w:val="subscript"/>
        </w:rPr>
        <w:t>to</w:t>
      </w:r>
      <w:r w:rsidRPr="001E7605">
        <w:t>), the rapidly activating and slowly inactivating outward K</w:t>
      </w:r>
      <w:r w:rsidRPr="001E7605">
        <w:rPr>
          <w:vertAlign w:val="superscript"/>
        </w:rPr>
        <w:t>+</w:t>
      </w:r>
      <w:r w:rsidRPr="001E7605">
        <w:t xml:space="preserve"> current (</w:t>
      </w:r>
      <w:proofErr w:type="spellStart"/>
      <w:r w:rsidRPr="001E7605">
        <w:rPr>
          <w:i/>
        </w:rPr>
        <w:t>I</w:t>
      </w:r>
      <w:r w:rsidRPr="001E7605">
        <w:rPr>
          <w:vertAlign w:val="subscript"/>
        </w:rPr>
        <w:t>Kur</w:t>
      </w:r>
      <w:proofErr w:type="spellEnd"/>
      <w:r w:rsidRPr="001E7605">
        <w:t>), the slowly activating and slowly inactivating steady-state K</w:t>
      </w:r>
      <w:r w:rsidRPr="001E7605">
        <w:rPr>
          <w:vertAlign w:val="superscript"/>
        </w:rPr>
        <w:t>+</w:t>
      </w:r>
      <w:r w:rsidRPr="001E7605">
        <w:t xml:space="preserve"> current (</w:t>
      </w:r>
      <w:proofErr w:type="spellStart"/>
      <w:r w:rsidRPr="001E7605">
        <w:rPr>
          <w:i/>
        </w:rPr>
        <w:t>I</w:t>
      </w:r>
      <w:r w:rsidRPr="001E7605">
        <w:rPr>
          <w:vertAlign w:val="subscript"/>
        </w:rPr>
        <w:t>ss</w:t>
      </w:r>
      <w:proofErr w:type="spellEnd"/>
      <w:r w:rsidRPr="001E7605">
        <w:t>), and the inwardly rectifying K</w:t>
      </w:r>
      <w:r w:rsidRPr="001E7605">
        <w:rPr>
          <w:vertAlign w:val="superscript"/>
        </w:rPr>
        <w:t xml:space="preserve">+ </w:t>
      </w:r>
      <w:r w:rsidRPr="001E7605">
        <w:t>current (</w:t>
      </w:r>
      <w:r w:rsidRPr="001E7605">
        <w:rPr>
          <w:i/>
        </w:rPr>
        <w:t>I</w:t>
      </w:r>
      <w:r w:rsidRPr="001E7605">
        <w:rPr>
          <w:vertAlign w:val="subscript"/>
        </w:rPr>
        <w:t>K1</w:t>
      </w:r>
      <w:r w:rsidRPr="001E7605">
        <w:t xml:space="preserve">). I-V relationships of the outward and inward potassium currents were </w:t>
      </w:r>
      <w:r w:rsidR="0081093E" w:rsidRPr="00A945AB">
        <w:t>constructed</w:t>
      </w:r>
      <w:r w:rsidR="0081093E" w:rsidRPr="001E7605">
        <w:t xml:space="preserve"> </w:t>
      </w:r>
      <w:r w:rsidRPr="001E7605">
        <w:t xml:space="preserve">from the current changes produced by a 500 </w:t>
      </w:r>
      <w:proofErr w:type="spellStart"/>
      <w:r w:rsidRPr="001E7605">
        <w:t>ms</w:t>
      </w:r>
      <w:proofErr w:type="spellEnd"/>
      <w:r w:rsidRPr="001E7605">
        <w:t xml:space="preserve"> voltage-clamp step applied in 10 mV increments from -</w:t>
      </w:r>
      <w:r w:rsidR="00FE359A" w:rsidRPr="001E7605">
        <w:t xml:space="preserve">140 </w:t>
      </w:r>
      <w:r w:rsidRPr="001E7605">
        <w:t>to +50 mV from a -80 mV holding potential. The isolation of each of these currents is well-stablished</w:t>
      </w:r>
      <w:r w:rsidR="00412A11" w:rsidRPr="001E7605">
        <w:t xml:space="preserve"> </w:t>
      </w:r>
      <w:r w:rsidR="00412A11" w:rsidRPr="001E7605">
        <w:fldChar w:fldCharType="begin"/>
      </w:r>
      <w:r w:rsidR="001369AC" w:rsidRPr="001E7605">
        <w:instrText xml:space="preserve"> ADDIN ZOTERO_ITEM CSL_CITATION {"citationID":"wvqCkfW8","properties":{"formattedCitation":"\\super 17,21,22\\nosupersub{}","plainCitation":"17,21,22","noteIndex":0},"citationItems":[{"id":252,"uris":["http://zotero.org/users/10967336/items/CF3FI9LU",["http://zotero.org/users/10967336/items/CF3FI9LU"],["http://zotero.org/users/10967336/items/CF3FI9LU",["http://zotero.org/users/10967336/items/CF3FI9LU"]]],"itemData":{"id":252,"type":"article-journal","abstract":"Abstract\n            \n              Aims\n              Hutchinson–Gilford progeria syndrome (HGPS) is an ultrarare laminopathy caused by expression of progerin, a lamin A variant, also present at low levels in non-HGPS individuals. HGPS patients age and die prematurely, predominantly from cardiovascular complications. Progerin-induced cardiac repolarization defects have been described previously, although the underlying mechanisms are unknown.\n            \n            \n              Methods and results\n              We conducted studies in heart tissue from progerin-expressing LmnaG609G/G609G (G609G) mice, including microscopy, intracellular calcium dynamics, patch-clamping, in vivo magnetic resonance imaging, and electrocardiography. G609G mouse cardiomyocytes showed tubulin-cytoskeleton disorganization, t-tubular system disruption, sarcomere shortening, altered excitation–contraction coupling, and reductions in ventricular thickening and cardiac index. G609G mice exhibited severe bradycardia, and significant alterations of atrio-ventricular conduction and repolarization. Most importantly, 50% of G609G mice had altered heart rate variability, and sinoatrial block, both significant signs of premature cardiac aging. G609G cardiomyocytes had electrophysiological alterations, which resulted in an elevated action potential plateau and early afterdepolarization bursting, reflecting slower sodium current inactivation and long Ca+2 transient duration, which may also help explain the mild QT prolongation in some HGPS patients. Chronic treatment with low-dose paclitaxel ameliorated structural and functional alterations in G609G hearts.\n            \n            \n              Conclusions\n              Our results demonstrate that tubulin-cytoskeleton disorganization in progerin-expressing cardiomyocytes causes structural, cardiac conduction, and excitation–contraction coupling defects, all of which can be partially corrected by chronic treatment with low dose paclitaxel.","container-title":"Cardiovascular Research","DOI":"10.1093/cvr/cvab055","ISSN":"0008-6363, 1755-3245","issue":"2","language":"en","page":"503-516","source":"DOI.org (Crossref)","title":"Paclitaxel mitigates structural alterations and cardiac conduction system defects in a mouse model of Hutchinson–Gilford progeria syndrome","volume":"118","author":[{"family":"Macías","given":"Álvaro"},{"family":"Díaz-Larrosa","given":"J Jaime"},{"family":"Blanco","given":"Yaazan"},{"family":"Fanjul","given":"Víctor"},{"family":"González-Gómez","given":"Cristina"},{"family":"Gonzalo","given":"Pilar"},{"family":"Andrés-Manzano","given":"María Jesús"},{"family":"Rocha","given":"Andre Monteiro","non-dropping-particle":"da"},{"family":"Ponce-Balbuena","given":"Daniela"},{"family":"Allan","given":"Andrew"},{"family":"Filgueiras-Rama","given":"David"},{"family":"Jalife","given":"José"},{"family":"Andrés","given":"Vicente"}],"issued":{"date-parts":[["2022",1,29]]}}},{"id":250,"uris":["http://zotero.org/users/10967336/items/4TV6R897",["http://zotero.org/users/10967336/items/4TV6R897"]],"itemData":{"id":250,"type":"article-journal","container-title":"The Journal of Physiology","DOI":"10.1111/j.1469-7793.1997.557bd.x","ISSN":"00223751","issue":"3","language":"en","page":"557-563","source":"DOI.org (Crossref)","title":"A rapidly activating sustained K &lt;sup&gt;+&lt;/sup&gt; current modulates repolarization and excitation-contraction coupling in adult mouse ventricle","volume":"504","author":[{"family":"Fiset","given":"C."},{"family":"Clark","given":"R. B."},{"family":"Larsen","given":"T. S."},{"family":"Giles","given":"W. R."}],"issued":{"date-parts":[["1997",11]]}}},{"id":251,"uris":["http://zotero.org/users/10967336/items/XXFZENPD",["http://zotero.org/users/10967336/items/XXFZENPD"]],"itemData":{"id":251,"type":"article-journal","abstract":"The mouse heart has become a widely used model for genetic studies of heart diseases. Thus, understanding gender differences in mouse cardiac repolarization is crucial to the interpretation of such studies. The objective of this study was to evaluate whether there are gender differences in cardiac repolarization in mouse ventricle and to gain insights into the ionic and molecular mechanisms underlying these differences. Action potential durations (APDs) and K\n              +\n              currents in male and female ventricular myocytes were compared using a patch-clamp technique. APD\n              20\n              , APD\n              50\n              , and APD\n              90\n              were found to be significantly longer in females than males. Examination of the different K\n              +\n              currents revealed that a significantly lower current density exists in female ventricular myocytes compared with male myocytes for the ultrarapid delayed rectifier K\n              +\n              current,\n              I\n              Kur\n              (at +30 mV, male, 33.2±2.9 pA/pF [n= 22]; female, 20.9±1.73 pA/pF [n= 19],\n              P\n              &lt;0.001). Consistent with these findings were the results of the ribonuclease protection assay, Western blots, and confocal analysis that showed a significantly lower expression level of Kv1.5 (coding for\n              I\n              Kur\n              ) in female compared with male ventricle. The additional K\n              +\n              currents present in mouse ventricle exhibited no gender differences. In agreement with these electrophysiological data, no differences in the expression levels for the K\n              +\n              channels underlying these currents were detected between both sexes. This study demonstrates that adult mice exhibit gender differences in cardiac repolarization. The expression of Kv1.5 and of its corresponding K\n              +\n              current,\n              I\n              Kur\n              , is significantly lower in female mouse ventricle, and as a result, the APD is lengthened.","container-title":"Circulation Research","DOI":"10.1161/hh1701.095644","ISSN":"0009-7330, 1524-4571","issue":"5","journalAbbreviation":"Circulation Research","language":"en","page":"437-444","source":"DOI.org (Crossref)","title":"Gender-Based Differences in Cardiac Repolarization in Mouse Ventricle","volume":"89","author":[{"family":"Trépanier-Boulay","given":"Véronique"},{"family":"St-Michel","given":"Chantale"},{"family":"Tremblay","given":"Annie"},{"family":"Fiset","given":"Céline"}],"issued":{"date-parts":[["2001",8,31]]}}}],"schema":"https://github.com/citation-style-language/schema/raw/master/csl-citation.json"} </w:instrText>
      </w:r>
      <w:r w:rsidR="00412A11" w:rsidRPr="001E7605">
        <w:fldChar w:fldCharType="separate"/>
      </w:r>
      <w:r w:rsidR="001369AC" w:rsidRPr="001E7605">
        <w:rPr>
          <w:rFonts w:cs="Times New Roman"/>
          <w:szCs w:val="24"/>
          <w:vertAlign w:val="superscript"/>
        </w:rPr>
        <w:t>17,21,22</w:t>
      </w:r>
      <w:r w:rsidR="00412A11" w:rsidRPr="001E7605">
        <w:fldChar w:fldCharType="end"/>
      </w:r>
      <w:r w:rsidRPr="001E7605">
        <w:t xml:space="preserve">  and it was carried out as follows: </w:t>
      </w:r>
      <w:r w:rsidRPr="001E7605">
        <w:rPr>
          <w:i/>
        </w:rPr>
        <w:t>I</w:t>
      </w:r>
      <w:r w:rsidRPr="001E7605">
        <w:rPr>
          <w:vertAlign w:val="subscript"/>
        </w:rPr>
        <w:t>to</w:t>
      </w:r>
      <w:r w:rsidRPr="001E7605">
        <w:t xml:space="preserve"> was measured as the difference of the current obtained by subtracting records with an inactivating pre-pulse voltage-clamp protocol (100 </w:t>
      </w:r>
      <w:proofErr w:type="spellStart"/>
      <w:r w:rsidRPr="001E7605">
        <w:t>ms</w:t>
      </w:r>
      <w:proofErr w:type="spellEnd"/>
      <w:r w:rsidRPr="001E7605">
        <w:t xml:space="preserve"> at -20 mV) from those without the inactivating pre-pulse (</w:t>
      </w:r>
      <w:r w:rsidR="00FE359A" w:rsidRPr="001E7605">
        <w:t xml:space="preserve">Figure </w:t>
      </w:r>
      <w:r w:rsidR="005A774D" w:rsidRPr="001E7605">
        <w:t>S5A</w:t>
      </w:r>
      <w:r w:rsidRPr="001E7605">
        <w:t xml:space="preserve">). </w:t>
      </w:r>
      <w:proofErr w:type="spellStart"/>
      <w:r w:rsidRPr="001E7605">
        <w:rPr>
          <w:i/>
        </w:rPr>
        <w:t>I</w:t>
      </w:r>
      <w:r w:rsidRPr="001E7605">
        <w:rPr>
          <w:vertAlign w:val="subscript"/>
        </w:rPr>
        <w:t>Kur</w:t>
      </w:r>
      <w:proofErr w:type="spellEnd"/>
      <w:r w:rsidRPr="001E7605">
        <w:t xml:space="preserve"> was calculated by subtracting the currents recorded with the inactivating pre-pulse in the presence of 200 </w:t>
      </w:r>
      <w:proofErr w:type="spellStart"/>
      <w:r w:rsidRPr="001E7605">
        <w:t>μM</w:t>
      </w:r>
      <w:proofErr w:type="spellEnd"/>
      <w:r w:rsidRPr="001E7605">
        <w:t xml:space="preserve"> 4-aminopyridine (4-AP) from those recorded in its absence (</w:t>
      </w:r>
      <w:r w:rsidR="00FE359A" w:rsidRPr="001E7605">
        <w:t xml:space="preserve">Figure </w:t>
      </w:r>
      <w:r w:rsidR="0043383F" w:rsidRPr="001E7605">
        <w:t>S8B</w:t>
      </w:r>
      <w:r w:rsidRPr="001E7605">
        <w:t>). Th</w:t>
      </w:r>
      <w:r w:rsidR="00FE359A" w:rsidRPr="001E7605">
        <w:t>us, th</w:t>
      </w:r>
      <w:r w:rsidRPr="001E7605">
        <w:t>e</w:t>
      </w:r>
      <w:r w:rsidR="00FE359A" w:rsidRPr="001E7605">
        <w:t xml:space="preserve"> remaining</w:t>
      </w:r>
      <w:r w:rsidRPr="001E7605">
        <w:t xml:space="preserve"> 4-AP-resistant current correspond</w:t>
      </w:r>
      <w:r w:rsidR="00FE359A" w:rsidRPr="001E7605">
        <w:t>s</w:t>
      </w:r>
      <w:r w:rsidRPr="001E7605">
        <w:t xml:space="preserve"> to </w:t>
      </w:r>
      <w:proofErr w:type="spellStart"/>
      <w:r w:rsidRPr="001E7605">
        <w:rPr>
          <w:i/>
        </w:rPr>
        <w:t>I</w:t>
      </w:r>
      <w:r w:rsidRPr="001E7605">
        <w:rPr>
          <w:vertAlign w:val="subscript"/>
        </w:rPr>
        <w:t>ss</w:t>
      </w:r>
      <w:proofErr w:type="spellEnd"/>
      <w:r w:rsidRPr="001E7605">
        <w:t xml:space="preserve"> (</w:t>
      </w:r>
      <w:r w:rsidR="00FE359A" w:rsidRPr="001E7605">
        <w:t xml:space="preserve">Figure </w:t>
      </w:r>
      <w:r w:rsidR="0043383F" w:rsidRPr="001E7605">
        <w:t>S8C</w:t>
      </w:r>
      <w:r w:rsidRPr="001E7605">
        <w:t>). All these outward K</w:t>
      </w:r>
      <w:r w:rsidRPr="001E7605">
        <w:rPr>
          <w:vertAlign w:val="superscript"/>
        </w:rPr>
        <w:t>+</w:t>
      </w:r>
      <w:r w:rsidRPr="001E7605">
        <w:t xml:space="preserve"> currents were measured at the maximum peak current. For inward currents, 500 </w:t>
      </w:r>
      <w:proofErr w:type="spellStart"/>
      <w:r w:rsidRPr="001E7605">
        <w:t>ms</w:t>
      </w:r>
      <w:proofErr w:type="spellEnd"/>
      <w:r w:rsidRPr="001E7605">
        <w:t xml:space="preserve"> voltage-clamp step were applied in 10 mV increments from -140 to +20 mV from a -80 mV holding potential. These currents were measured at the end of the 500 </w:t>
      </w:r>
      <w:proofErr w:type="spellStart"/>
      <w:r w:rsidRPr="001E7605">
        <w:t>ms</w:t>
      </w:r>
      <w:proofErr w:type="spellEnd"/>
      <w:r w:rsidRPr="001E7605">
        <w:t xml:space="preserve"> pulses. Current recordings were all obtained at 1 Hz. </w:t>
      </w:r>
    </w:p>
    <w:p w14:paraId="4CC40610" w14:textId="6149D1D3" w:rsidR="000B48C9" w:rsidRPr="001E7605" w:rsidRDefault="000B48C9" w:rsidP="00FF720A">
      <w:pPr>
        <w:pStyle w:val="Ttulo3Tesis"/>
      </w:pPr>
      <w:bookmarkStart w:id="24" w:name="_Toc145663650"/>
      <w:r w:rsidRPr="001E7605">
        <w:lastRenderedPageBreak/>
        <w:t>Protein extraction</w:t>
      </w:r>
      <w:bookmarkEnd w:id="24"/>
    </w:p>
    <w:p w14:paraId="17297F43" w14:textId="30D3A404" w:rsidR="000B48C9" w:rsidRPr="001E7605" w:rsidRDefault="000B48C9">
      <w:pPr>
        <w:pStyle w:val="TextoTesis"/>
      </w:pPr>
      <w:r w:rsidRPr="001E7605">
        <w:t>HEK293 cells at 80% confluence in 100 mm culture dishes (</w:t>
      </w:r>
      <w:r w:rsidR="00B11409" w:rsidRPr="001E7605">
        <w:t xml:space="preserve">353003 </w:t>
      </w:r>
      <w:r w:rsidRPr="001E7605">
        <w:t>Corning</w:t>
      </w:r>
      <w:r w:rsidR="00300DED" w:rsidRPr="001E7605">
        <w:t xml:space="preserve">, </w:t>
      </w:r>
      <w:r w:rsidR="00B11409" w:rsidRPr="001E7605">
        <w:t>Corning, NY, USA</w:t>
      </w:r>
      <w:r w:rsidRPr="001E7605">
        <w:t xml:space="preserve">) were transfected with 4 </w:t>
      </w:r>
      <w:proofErr w:type="spellStart"/>
      <w:r w:rsidRPr="001E7605">
        <w:t>μg</w:t>
      </w:r>
      <w:proofErr w:type="spellEnd"/>
      <w:r w:rsidRPr="001E7605">
        <w:t xml:space="preserve"> of each cDNA in different combinations, by using Lipofectamine 2000 following the manufacturer instructions in a final volume of 1400 </w:t>
      </w:r>
      <w:proofErr w:type="spellStart"/>
      <w:r w:rsidRPr="001E7605">
        <w:t>μl</w:t>
      </w:r>
      <w:proofErr w:type="spellEnd"/>
      <w:r w:rsidRPr="001E7605">
        <w:t>. After 24 h, cells were washed twice with cold PBS and scrapped in 0.5 ml of Protein Lysis Buffer</w:t>
      </w:r>
      <w:r w:rsidR="00591A8C" w:rsidRPr="001E7605">
        <w:t xml:space="preserve"> 1</w:t>
      </w:r>
      <w:r w:rsidRPr="001E7605">
        <w:t xml:space="preserve"> (150 mM NaCl, 50 mM </w:t>
      </w:r>
      <w:r w:rsidR="00591A8C" w:rsidRPr="001E7605">
        <w:t>HEPES</w:t>
      </w:r>
      <w:r w:rsidRPr="001E7605">
        <w:t>, 10% glycerol (G5516, Sigma Aldrich), 1% Triton X-100 (T8787, Sigma Aldrich), pH=7.2</w:t>
      </w:r>
      <w:r w:rsidR="00FE359A" w:rsidRPr="001E7605">
        <w:t xml:space="preserve"> with NaOH</w:t>
      </w:r>
      <w:r w:rsidRPr="001E7605">
        <w:t xml:space="preserve">) </w:t>
      </w:r>
      <w:r w:rsidR="00FE359A" w:rsidRPr="001E7605">
        <w:t xml:space="preserve">supplemented </w:t>
      </w:r>
      <w:r w:rsidRPr="001E7605">
        <w:t xml:space="preserve">with protease inhibitors (0.1% v/v </w:t>
      </w:r>
      <w:r w:rsidR="00A666C4" w:rsidRPr="001E7605">
        <w:t>Protease Inhibitor Cocktail [</w:t>
      </w:r>
      <w:r w:rsidRPr="001E7605">
        <w:t>PIC</w:t>
      </w:r>
      <w:r w:rsidR="00A666C4" w:rsidRPr="001E7605">
        <w:t>, P8340, Sigma Aldrich]</w:t>
      </w:r>
      <w:r w:rsidRPr="001E7605">
        <w:t xml:space="preserve">, 1 mM PMSF). The homogenates were incubated in orbital agitation at 4 ºC 30 min and then centrifuged at 13000 × g for 15 min. The supernatants were transferred to new 1.5 ml tubes and the total protein content of each supernatant was determined using a BCA Pierce Kit. </w:t>
      </w:r>
    </w:p>
    <w:p w14:paraId="348E8F31" w14:textId="3BC0A2A0" w:rsidR="003D3D5B" w:rsidRPr="001E7605" w:rsidRDefault="000B48C9">
      <w:pPr>
        <w:pStyle w:val="TextoTesis"/>
      </w:pPr>
      <w:r w:rsidRPr="001E7605">
        <w:t xml:space="preserve">For native cardiac tissue, it was preserved at -80 ºC until being homogenized. After defrosting the tissue, it was chopped with PBS and tubed in a 2 ml </w:t>
      </w:r>
      <w:proofErr w:type="spellStart"/>
      <w:r w:rsidRPr="001E7605">
        <w:t>eppendorf</w:t>
      </w:r>
      <w:proofErr w:type="spellEnd"/>
      <w:r w:rsidRPr="001E7605">
        <w:t xml:space="preserve"> with 300 </w:t>
      </w:r>
      <w:proofErr w:type="spellStart"/>
      <w:r w:rsidRPr="001E7605">
        <w:t>μl</w:t>
      </w:r>
      <w:proofErr w:type="spellEnd"/>
      <w:r w:rsidRPr="001E7605">
        <w:t xml:space="preserve"> of Lysis Buffer </w:t>
      </w:r>
      <w:r w:rsidR="00591A8C" w:rsidRPr="001E7605">
        <w:t xml:space="preserve">2 </w:t>
      </w:r>
      <w:r w:rsidRPr="001E7605">
        <w:t xml:space="preserve">(50 mM Tris-HCl, 320 mM sucrose (1076541000, Sigma Aldrich), 0.2% v/v </w:t>
      </w:r>
      <w:proofErr w:type="spellStart"/>
      <w:r w:rsidRPr="001E7605">
        <w:t>Igepal</w:t>
      </w:r>
      <w:proofErr w:type="spellEnd"/>
      <w:r w:rsidRPr="001E7605">
        <w:t xml:space="preserve"> (56741, Sigma Aldrich), 1 mM DTT (43819, Sigma Aldrich), supplemented with 0.1% v/v</w:t>
      </w:r>
      <w:r w:rsidR="00A666C4" w:rsidRPr="001E7605">
        <w:t>,</w:t>
      </w:r>
      <w:r w:rsidRPr="001E7605">
        <w:t xml:space="preserve"> Phosphatase Inhibitor Cocktail 2 (P4726, Sigma Aldrich), 0.1% v/v Phosphatase Inhibitor Cocktail 3 (P0044, Sigma Aldrich), 0.1% v/v PIC</w:t>
      </w:r>
      <w:r w:rsidR="00A666C4" w:rsidRPr="001E7605">
        <w:t xml:space="preserve"> </w:t>
      </w:r>
      <w:r w:rsidRPr="001E7605">
        <w:t>and 1% (v/v) Trypsin Inhibitor (10109886001, Roche) at pH 8.0). Samples were then mechanically homogenized with a Polytron (ULTRA-TURRAX</w:t>
      </w:r>
      <w:r w:rsidRPr="001E7605">
        <w:rPr>
          <w:vertAlign w:val="superscript"/>
        </w:rPr>
        <w:t>®</w:t>
      </w:r>
      <w:r w:rsidRPr="001E7605">
        <w:t xml:space="preserve"> T10 Basic Disperser, IKA</w:t>
      </w:r>
      <w:r w:rsidRPr="001E7605">
        <w:rPr>
          <w:vertAlign w:val="superscript"/>
        </w:rPr>
        <w:t>®</w:t>
      </w:r>
      <w:r w:rsidRPr="001E7605">
        <w:t xml:space="preserve"> Works) while maintained in ice to avoid sample heating. Once homogenized, samples were centrifuged at 13000 rpm 15 min at 4 ºC and supernatants were transferred to clean 1.5 ml tubes. Lastly, samples were vortexed for 45 min at 4 ºC. Finally, protein content was determined by using BCA Pierce Kit</w:t>
      </w:r>
      <w:r w:rsidR="00177A3E" w:rsidRPr="001E7605">
        <w:t xml:space="preserve"> (Pierce® BCA Protein Assay, 23227, </w:t>
      </w:r>
      <w:proofErr w:type="spellStart"/>
      <w:r w:rsidR="00177A3E" w:rsidRPr="001E7605">
        <w:t>ThermoFisher</w:t>
      </w:r>
      <w:proofErr w:type="spellEnd"/>
      <w:r w:rsidR="00177A3E" w:rsidRPr="001E7605">
        <w:t xml:space="preserve"> Scientific)</w:t>
      </w:r>
      <w:r w:rsidRPr="001E7605">
        <w:t xml:space="preserve">. </w:t>
      </w:r>
    </w:p>
    <w:p w14:paraId="2A13E089" w14:textId="77777777" w:rsidR="003D3D5B" w:rsidRPr="001E7605" w:rsidRDefault="003D3D5B" w:rsidP="00FF720A">
      <w:pPr>
        <w:pStyle w:val="Ttulo3Tesis"/>
      </w:pPr>
      <w:r w:rsidRPr="001E7605">
        <w:t>Western-blot</w:t>
      </w:r>
    </w:p>
    <w:p w14:paraId="5799C102" w14:textId="77B7557D" w:rsidR="003D3D5B" w:rsidRPr="001E7605" w:rsidRDefault="003D3D5B" w:rsidP="003D3D5B">
      <w:pPr>
        <w:pStyle w:val="TextoTesis"/>
      </w:pPr>
      <w:r w:rsidRPr="001E7605">
        <w:t>Samples were resuspended in Laemmli buffer with 5% β-</w:t>
      </w:r>
      <w:proofErr w:type="spellStart"/>
      <w:r w:rsidRPr="001E7605">
        <w:t>mercaptoethanol</w:t>
      </w:r>
      <w:proofErr w:type="spellEnd"/>
      <w:r w:rsidRPr="001E7605">
        <w:t xml:space="preserve"> and boiled for 5 min at 95 ºC. Then, they were centrifuged for 3 min at 5000 × g and 30 </w:t>
      </w:r>
      <w:proofErr w:type="spellStart"/>
      <w:r w:rsidRPr="001E7605">
        <w:t>μl</w:t>
      </w:r>
      <w:proofErr w:type="spellEnd"/>
      <w:r w:rsidRPr="001E7605">
        <w:t xml:space="preserve"> of protein extract was separated by SDS-PAGE (8% acrylamide/</w:t>
      </w:r>
      <w:proofErr w:type="spellStart"/>
      <w:r w:rsidRPr="001E7605">
        <w:t>bisacrylamide</w:t>
      </w:r>
      <w:proofErr w:type="spellEnd"/>
      <w:r w:rsidRPr="001E7605">
        <w:t>) gels. The proteins were transferred to PVDF membranes and blocked with BSA 5% in TBST during 2 h. After washing the membranes three times with TBST, 10 min each, they were incubated with the corresponding primary antibody</w:t>
      </w:r>
      <w:r w:rsidR="00DE7FF3" w:rsidRPr="001E7605">
        <w:t xml:space="preserve"> (Supplementary Table 6)</w:t>
      </w:r>
      <w:r w:rsidRPr="001E7605">
        <w:t xml:space="preserve"> diluted in TBST overnight at 4 ºC. Then, the membranes were washed three times and incubated with the secondary antibody conjugated with peroxidase (anti-mouse IgG-HRP</w:t>
      </w:r>
      <w:r w:rsidR="00DE7FF3" w:rsidRPr="001E7605">
        <w:t>,</w:t>
      </w:r>
      <w:r w:rsidRPr="001E7605">
        <w:t xml:space="preserve"> sc-516102, Santa Cruz; anti-rabbit IgG-HRP</w:t>
      </w:r>
      <w:r w:rsidR="00DE7FF3" w:rsidRPr="001E7605">
        <w:t>,</w:t>
      </w:r>
      <w:r w:rsidRPr="001E7605">
        <w:t xml:space="preserve"> A130-108P, Bethyl) 1:10000 to 1:20000 diluted in TBST 2.5% BSA. Secondary antibodies were revealed by using Clarity Western ECL</w:t>
      </w:r>
      <w:r w:rsidR="00DE7FF3" w:rsidRPr="001E7605">
        <w:t xml:space="preserve"> </w:t>
      </w:r>
      <w:r w:rsidRPr="001E7605">
        <w:t>Substrate (1705061, Bio-Rad).</w:t>
      </w:r>
    </w:p>
    <w:p w14:paraId="688C244C" w14:textId="56AA8091" w:rsidR="000B48C9" w:rsidRPr="001E7605" w:rsidRDefault="000B48C9" w:rsidP="00FF720A">
      <w:pPr>
        <w:pStyle w:val="Ttulo3Tesis"/>
      </w:pPr>
      <w:bookmarkStart w:id="25" w:name="_Toc145663651"/>
      <w:r w:rsidRPr="001E7605">
        <w:t>Coimmunoprecipitation assays</w:t>
      </w:r>
      <w:bookmarkEnd w:id="25"/>
    </w:p>
    <w:p w14:paraId="7A4AB8C0" w14:textId="3FBCB122" w:rsidR="000B48C9" w:rsidRPr="001E7605" w:rsidRDefault="000B48C9">
      <w:pPr>
        <w:pStyle w:val="TextoTesis"/>
      </w:pPr>
      <w:r w:rsidRPr="001E7605">
        <w:t xml:space="preserve">Immunoprecipitation (IP) was performed </w:t>
      </w:r>
      <w:r w:rsidR="009D7E62" w:rsidRPr="001E7605">
        <w:t>with</w:t>
      </w:r>
      <w:r w:rsidRPr="001E7605">
        <w:t xml:space="preserve"> Protein A (for </w:t>
      </w:r>
      <w:r w:rsidR="00EE3FBA" w:rsidRPr="001E7605">
        <w:t xml:space="preserve">rabbit </w:t>
      </w:r>
      <w:r w:rsidRPr="001E7605">
        <w:t>antibodies ) or G (for  mouse</w:t>
      </w:r>
      <w:r w:rsidR="00EE3FBA" w:rsidRPr="001E7605">
        <w:t xml:space="preserve"> ones</w:t>
      </w:r>
      <w:r w:rsidRPr="001E7605">
        <w:t>). Briefly, Protein A or G Sepharose® beads were incubated with anti-K</w:t>
      </w:r>
      <w:r w:rsidRPr="001E7605">
        <w:rPr>
          <w:vertAlign w:val="subscript"/>
        </w:rPr>
        <w:t>V</w:t>
      </w:r>
      <w:r w:rsidRPr="001E7605">
        <w:t xml:space="preserve">1.5 antibodies (APC-004, rabbit polyclonal, </w:t>
      </w:r>
      <w:proofErr w:type="spellStart"/>
      <w:r w:rsidRPr="001E7605">
        <w:t>Alomone</w:t>
      </w:r>
      <w:proofErr w:type="spellEnd"/>
      <w:r w:rsidRPr="001E7605">
        <w:t>), anti-FLAG antibodies (F7425, rabbit polyclonal, Sigma)</w:t>
      </w:r>
      <w:r w:rsidR="00E40FCD" w:rsidRPr="001E7605">
        <w:t xml:space="preserve"> or</w:t>
      </w:r>
      <w:r w:rsidRPr="001E7605">
        <w:t xml:space="preserve"> anti K</w:t>
      </w:r>
      <w:r w:rsidRPr="001E7605">
        <w:rPr>
          <w:vertAlign w:val="subscript"/>
        </w:rPr>
        <w:t>V</w:t>
      </w:r>
      <w:r w:rsidRPr="001E7605">
        <w:t xml:space="preserve">β1.2 antibodies (K47/42, </w:t>
      </w:r>
      <w:proofErr w:type="spellStart"/>
      <w:r w:rsidRPr="001E7605">
        <w:t>Neuromab</w:t>
      </w:r>
      <w:proofErr w:type="spellEnd"/>
      <w:r w:rsidRPr="001E7605">
        <w:t>) in a concentration of 4 ng antibody/</w:t>
      </w:r>
      <w:proofErr w:type="spellStart"/>
      <w:r w:rsidRPr="001E7605">
        <w:t>μg</w:t>
      </w:r>
      <w:proofErr w:type="spellEnd"/>
      <w:r w:rsidRPr="001E7605">
        <w:t xml:space="preserve"> protein for the positive IP, and without antibodies for the negative IP, for 2h at 4 ºC. In other tubes, 400-1000 µg of total protein lysate were incubated with Protein A/G 2h at 4 ºC, and then centrifuged at 5000 × g 30’’ to remove</w:t>
      </w:r>
      <w:r w:rsidR="009D7E62" w:rsidRPr="001E7605">
        <w:t xml:space="preserve"> those protein A/G</w:t>
      </w:r>
      <w:r w:rsidRPr="001E7605">
        <w:t xml:space="preserve"> unspecific binding. Afterwards, the supernatant containing </w:t>
      </w:r>
      <w:r w:rsidRPr="001E7605">
        <w:lastRenderedPageBreak/>
        <w:t xml:space="preserve">the protein lysate was incubated with Protein A/G with or without antibody overnight at 4 ºC, for the positive and negative IP, respectively. The </w:t>
      </w:r>
      <w:r w:rsidR="009D7E62" w:rsidRPr="001E7605">
        <w:t xml:space="preserve">samples </w:t>
      </w:r>
      <w:r w:rsidRPr="001E7605">
        <w:t xml:space="preserve">were centrifugated at 5000 × g 30’’ and the supernatant </w:t>
      </w:r>
      <w:r w:rsidR="009D7E62" w:rsidRPr="001E7605">
        <w:t xml:space="preserve">was </w:t>
      </w:r>
      <w:r w:rsidRPr="001E7605">
        <w:t>prepared to be loaded in the western-blot, whereas the precipitate was washed twice with washing buffer (150 mM NaCl, 50 mM HEPES, 10% glycerol (G5516, Sigma Aldrich), 0.1% Triton X-100 (T8787, Sigma Aldrich), pH=7.4) and the proteins are eluted with Laemmli buffer with 2% β-</w:t>
      </w:r>
      <w:proofErr w:type="spellStart"/>
      <w:r w:rsidRPr="001E7605">
        <w:t>mercaptoethanol</w:t>
      </w:r>
      <w:proofErr w:type="spellEnd"/>
      <w:r w:rsidRPr="001E7605">
        <w:t xml:space="preserve"> and boiled for 5 min at 95 ºC.</w:t>
      </w:r>
    </w:p>
    <w:p w14:paraId="59F09638" w14:textId="7F476E0F" w:rsidR="000B48C9" w:rsidRPr="001E7605" w:rsidRDefault="000B48C9" w:rsidP="00FF720A">
      <w:pPr>
        <w:pStyle w:val="Ttulo3Tesis"/>
      </w:pPr>
      <w:bookmarkStart w:id="26" w:name="_Toc145663653"/>
      <w:r w:rsidRPr="001E7605">
        <w:t>Immunofluorescence</w:t>
      </w:r>
      <w:bookmarkEnd w:id="26"/>
    </w:p>
    <w:p w14:paraId="7DBFBD87" w14:textId="34DE33A5" w:rsidR="000B48C9" w:rsidRPr="001E7605" w:rsidRDefault="000B48C9">
      <w:pPr>
        <w:pStyle w:val="TextoTesis"/>
      </w:pPr>
      <w:r w:rsidRPr="001E7605">
        <w:rPr>
          <w:u w:val="single"/>
        </w:rPr>
        <w:t>COS7 cells</w:t>
      </w:r>
      <w:r w:rsidR="003D3D5B" w:rsidRPr="001E7605">
        <w:t>:</w:t>
      </w:r>
      <w:r w:rsidRPr="001E7605">
        <w:t xml:space="preserve"> they were plated in coverslips with DMEM supplemented with 10% FBS and 1% penicillin-streptomycin (PS). At </w:t>
      </w:r>
      <w:r w:rsidRPr="001E7605">
        <w:sym w:font="Symbol" w:char="F07E"/>
      </w:r>
      <w:r w:rsidRPr="001E7605">
        <w:t xml:space="preserve">40% confluence, cells were transfected with 0.5 </w:t>
      </w:r>
      <w:proofErr w:type="spellStart"/>
      <w:r w:rsidRPr="001E7605">
        <w:t>μg</w:t>
      </w:r>
      <w:proofErr w:type="spellEnd"/>
      <w:r w:rsidRPr="001E7605">
        <w:t xml:space="preserve"> of each DNA with Lipofectamine</w:t>
      </w:r>
      <w:r w:rsidR="00FD2AE2" w:rsidRPr="001E7605">
        <w:t>®</w:t>
      </w:r>
      <w:r w:rsidRPr="001E7605">
        <w:t xml:space="preserve"> 2000 following manufacturer’s instructions. 48 h post-transfection, cells were washed with PBS and fixed with PFA 4% 15 min at </w:t>
      </w:r>
      <w:r w:rsidR="008D7D7C" w:rsidRPr="001E7605">
        <w:t>RT</w:t>
      </w:r>
      <w:r w:rsidRPr="001E7605">
        <w:t>. After three washes with PBS, cells were permeabilized with 0.2% Triton X-100</w:t>
      </w:r>
      <w:r w:rsidR="00FD2AE2" w:rsidRPr="001E7605">
        <w:t xml:space="preserve"> (T8787, Sigma-Aldrich)</w:t>
      </w:r>
      <w:r w:rsidRPr="001E7605">
        <w:t xml:space="preserve"> in PBS 5 min and washed again three times. To avoid nonspecific unions, cells were incubated with blocking buffer (10% goat serum (GS) in PBS, 16210-064, Gibco) 15 min at </w:t>
      </w:r>
      <w:r w:rsidR="008D7D7C" w:rsidRPr="001E7605">
        <w:t>RT</w:t>
      </w:r>
      <w:r w:rsidRPr="001E7605">
        <w:t>. The coverslips were washed three times with PBS and incubated with the corresponding primary antibodies diluted in blocking buffer 1 h at 37 ºC in a wet chamber. After three washes with PBS, cells were incubated with the corresponding secondary antibodies diluted at 1:500 in blocking buffer for 1 h at 37 ºC. Cells were washed and nucleus were stained with DAPI (</w:t>
      </w:r>
      <w:r w:rsidR="00FD2AE2" w:rsidRPr="001E7605">
        <w:t xml:space="preserve">D1306, </w:t>
      </w:r>
      <w:r w:rsidRPr="001E7605">
        <w:t xml:space="preserve">Thermo Fisher Scientific, 1:1000 in blocking buffer) for 10 min at </w:t>
      </w:r>
      <w:r w:rsidR="008D7D7C" w:rsidRPr="001E7605">
        <w:t>RT</w:t>
      </w:r>
      <w:r w:rsidRPr="001E7605">
        <w:t>. The coverslips were washed with PBS and mounted with Prolong Diamond Antifade Reagent</w:t>
      </w:r>
      <w:r w:rsidR="00FD2AE2" w:rsidRPr="001E7605">
        <w:t xml:space="preserve"> (P36970, Molecular Probes)</w:t>
      </w:r>
      <w:r w:rsidR="00954A3C" w:rsidRPr="001E7605">
        <w:t>,</w:t>
      </w:r>
      <w:r w:rsidRPr="001E7605">
        <w:t xml:space="preserve"> observed </w:t>
      </w:r>
      <w:r w:rsidR="00954A3C" w:rsidRPr="001E7605">
        <w:t>under</w:t>
      </w:r>
      <w:r w:rsidRPr="001E7605">
        <w:t xml:space="preserve"> confocal microscopy </w:t>
      </w:r>
      <w:r w:rsidR="00954A3C" w:rsidRPr="001E7605">
        <w:t>(</w:t>
      </w:r>
      <w:r w:rsidRPr="001E7605">
        <w:t>LSM710</w:t>
      </w:r>
      <w:r w:rsidR="00954A3C" w:rsidRPr="001E7605">
        <w:t>,</w:t>
      </w:r>
      <w:r w:rsidRPr="001E7605">
        <w:t xml:space="preserve"> Zeiss) and processed with FIJI and ImageJ programs.</w:t>
      </w:r>
    </w:p>
    <w:p w14:paraId="3FD6E66B" w14:textId="72DDBD84" w:rsidR="000B48C9" w:rsidRPr="001E7605" w:rsidRDefault="00954A3C">
      <w:pPr>
        <w:pStyle w:val="TextoTesis"/>
      </w:pPr>
      <w:r w:rsidRPr="001E7605">
        <w:rPr>
          <w:u w:val="single"/>
        </w:rPr>
        <w:t>I</w:t>
      </w:r>
      <w:r w:rsidR="000B48C9" w:rsidRPr="001E7605">
        <w:rPr>
          <w:u w:val="single"/>
        </w:rPr>
        <w:t>solated mice</w:t>
      </w:r>
      <w:r w:rsidR="000B48C9" w:rsidRPr="001E7605">
        <w:t xml:space="preserve"> </w:t>
      </w:r>
      <w:r w:rsidR="000B48C9" w:rsidRPr="001E7605">
        <w:rPr>
          <w:u w:val="single"/>
        </w:rPr>
        <w:t>cardiomyocytes</w:t>
      </w:r>
      <w:r w:rsidRPr="001E7605">
        <w:t>:</w:t>
      </w:r>
      <w:r w:rsidR="000B48C9" w:rsidRPr="001E7605">
        <w:t xml:space="preserve"> </w:t>
      </w:r>
      <w:r w:rsidRPr="001E7605">
        <w:t>previously fixed cells</w:t>
      </w:r>
      <w:r w:rsidR="000B48C9" w:rsidRPr="001E7605">
        <w:t xml:space="preserve"> </w:t>
      </w:r>
      <w:r w:rsidRPr="001E7605">
        <w:t xml:space="preserve">were </w:t>
      </w:r>
      <w:r w:rsidR="000B48C9" w:rsidRPr="001E7605">
        <w:t xml:space="preserve">washed </w:t>
      </w:r>
      <w:r w:rsidRPr="001E7605">
        <w:t xml:space="preserve">in </w:t>
      </w:r>
      <w:r w:rsidR="000B48C9" w:rsidRPr="001E7605">
        <w:t xml:space="preserve">PBS and centrifuged at 100 × g for 4 min at RT. From now on, all the centrifugations were carried out at 100 × g during 4 min at RT. 15 </w:t>
      </w:r>
      <w:proofErr w:type="spellStart"/>
      <w:r w:rsidR="000B48C9" w:rsidRPr="001E7605">
        <w:t>μl</w:t>
      </w:r>
      <w:proofErr w:type="spellEnd"/>
      <w:r w:rsidR="000B48C9" w:rsidRPr="001E7605">
        <w:t xml:space="preserve"> of the sample were added to a well in a </w:t>
      </w:r>
      <w:r w:rsidR="000B48C9" w:rsidRPr="001E7605">
        <w:rPr>
          <w:color w:val="000000" w:themeColor="text1"/>
        </w:rPr>
        <w:t>conical V bottom polystyrene 96-well non-treated plates (</w:t>
      </w:r>
      <w:r w:rsidR="00FD2AE2" w:rsidRPr="001E7605">
        <w:rPr>
          <w:color w:val="000000" w:themeColor="text1"/>
        </w:rPr>
        <w:t xml:space="preserve">277143, </w:t>
      </w:r>
      <w:r w:rsidR="000B48C9" w:rsidRPr="001E7605">
        <w:rPr>
          <w:color w:val="000000" w:themeColor="text1"/>
        </w:rPr>
        <w:t>Nunc, Thermo Fisher Scientific)</w:t>
      </w:r>
      <w:r w:rsidR="000B48C9" w:rsidRPr="001E7605">
        <w:rPr>
          <w:color w:val="FF0000"/>
        </w:rPr>
        <w:t xml:space="preserve"> </w:t>
      </w:r>
      <w:r w:rsidR="000B48C9" w:rsidRPr="001E7605">
        <w:t xml:space="preserve">and washed with PBS. Then, </w:t>
      </w:r>
      <w:r w:rsidRPr="001E7605">
        <w:t>were blocked</w:t>
      </w:r>
      <w:r w:rsidR="000B48C9" w:rsidRPr="001E7605">
        <w:t xml:space="preserve"> in Triton-X-100 0.3%, BSA 5% in PBS 90 min at RT</w:t>
      </w:r>
      <w:r w:rsidR="00EE3FBA" w:rsidRPr="001E7605">
        <w:t>.</w:t>
      </w:r>
      <w:r w:rsidR="000B48C9" w:rsidRPr="001E7605">
        <w:t xml:space="preserve"> </w:t>
      </w:r>
      <w:r w:rsidR="00EE3FBA" w:rsidRPr="001E7605">
        <w:t xml:space="preserve">In those cases in which the plasmalemma needs to be intact </w:t>
      </w:r>
      <w:r w:rsidR="000B48C9" w:rsidRPr="001E7605">
        <w:t xml:space="preserve">the same </w:t>
      </w:r>
      <w:r w:rsidR="00EE3FBA" w:rsidRPr="001E7605">
        <w:t>procedure was used</w:t>
      </w:r>
      <w:r w:rsidR="000B48C9" w:rsidRPr="001E7605">
        <w:t xml:space="preserve"> but lacking Triton-X-100. Cells were incubated with the corresponding primary antibodies in BSA 5%, GS 2% with or without Triton-X-100 0.3% in PBS overnight at 4 ºC. Cardiomyocytes were</w:t>
      </w:r>
      <w:r w:rsidR="00EE3FBA" w:rsidRPr="001E7605">
        <w:t xml:space="preserve"> three times</w:t>
      </w:r>
      <w:r w:rsidR="000B48C9" w:rsidRPr="001E7605">
        <w:t xml:space="preserve"> washed with PBS prior to its incubation with the corresponding secondary antibodies diluted in BSA 5%, GS 2% with or without Triton-X-100 0.3% in PBS 60 min at RT. Cells were washed with PBS before its incubation with DAPI (1:1000) in Triton-X-100 0.3%, BSA 5%, GS 2% in PBS during 10 min at RT. Cells were washed again and resuspended in 15 </w:t>
      </w:r>
      <w:proofErr w:type="spellStart"/>
      <w:r w:rsidR="000B48C9" w:rsidRPr="001E7605">
        <w:t>μl</w:t>
      </w:r>
      <w:proofErr w:type="spellEnd"/>
      <w:r w:rsidR="000B48C9" w:rsidRPr="001E7605">
        <w:t xml:space="preserve"> of PBS, the drop was placed in a microscope slide and, when dried, </w:t>
      </w:r>
      <w:r w:rsidR="00EE3FBA" w:rsidRPr="001E7605">
        <w:t>mounted</w:t>
      </w:r>
      <w:r w:rsidR="000B48C9" w:rsidRPr="001E7605">
        <w:t xml:space="preserve"> (Prolong Diamond Antifade Reagent, P36970, Molecular Probes) and covered with a coverslip. Labelled cells were observed </w:t>
      </w:r>
      <w:r w:rsidR="00EE3FBA" w:rsidRPr="001E7605">
        <w:t>under</w:t>
      </w:r>
      <w:r w:rsidR="000B48C9" w:rsidRPr="001E7605">
        <w:t xml:space="preserve"> confocal microscopy </w:t>
      </w:r>
      <w:r w:rsidR="00EE3FBA" w:rsidRPr="001E7605">
        <w:t>(</w:t>
      </w:r>
      <w:r w:rsidR="000B48C9" w:rsidRPr="001E7605">
        <w:t>LSM710</w:t>
      </w:r>
      <w:r w:rsidR="00EE3FBA" w:rsidRPr="001E7605">
        <w:t>,</w:t>
      </w:r>
      <w:r w:rsidR="000B48C9" w:rsidRPr="001E7605">
        <w:t xml:space="preserve"> Zeiss) and processed with FIJI and ImageJ programs as follows:</w:t>
      </w:r>
    </w:p>
    <w:p w14:paraId="325272CF" w14:textId="43727A9D" w:rsidR="000B48C9" w:rsidRPr="001E7605" w:rsidRDefault="00C73B40">
      <w:pPr>
        <w:pStyle w:val="TextoTesis"/>
        <w:numPr>
          <w:ilvl w:val="0"/>
          <w:numId w:val="26"/>
        </w:numPr>
      </w:pPr>
      <w:r w:rsidRPr="001E7605">
        <w:t>To measure membrane K</w:t>
      </w:r>
      <w:r w:rsidRPr="001E7605">
        <w:rPr>
          <w:vertAlign w:val="subscript"/>
        </w:rPr>
        <w:t>V</w:t>
      </w:r>
      <w:r w:rsidRPr="001E7605">
        <w:t xml:space="preserve">1.5 expression in non-permeabilized cells, different values (area, mean intensity and integrated density) </w:t>
      </w:r>
      <w:r w:rsidR="00DE7FF3" w:rsidRPr="001E7605">
        <w:t xml:space="preserve">of positive signal </w:t>
      </w:r>
      <w:r w:rsidRPr="001E7605">
        <w:t xml:space="preserve">were measured from </w:t>
      </w:r>
      <w:r w:rsidR="00DE7FF3" w:rsidRPr="001E7605">
        <w:t xml:space="preserve">previously </w:t>
      </w:r>
      <w:proofErr w:type="spellStart"/>
      <w:r w:rsidR="00DE7FF3" w:rsidRPr="001E7605">
        <w:t>thresholded</w:t>
      </w:r>
      <w:proofErr w:type="spellEnd"/>
      <w:r w:rsidR="00DE7FF3" w:rsidRPr="001E7605">
        <w:t xml:space="preserve"> cells.  </w:t>
      </w:r>
    </w:p>
    <w:p w14:paraId="6B42FEB5" w14:textId="389F5F78" w:rsidR="000B48C9" w:rsidRPr="001E7605" w:rsidRDefault="000B48C9">
      <w:pPr>
        <w:pStyle w:val="TextoTesis"/>
        <w:numPr>
          <w:ilvl w:val="0"/>
          <w:numId w:val="26"/>
        </w:numPr>
      </w:pPr>
      <w:r w:rsidRPr="001E7605">
        <w:t xml:space="preserve">To analyse the colocalization, we measured the Pearson </w:t>
      </w:r>
      <w:proofErr w:type="spellStart"/>
      <w:r w:rsidRPr="001E7605">
        <w:t>coefficiens</w:t>
      </w:r>
      <w:proofErr w:type="spellEnd"/>
      <w:r w:rsidRPr="001E7605">
        <w:t xml:space="preserve"> by using the JaCoP plugin of FIJI.</w:t>
      </w:r>
    </w:p>
    <w:p w14:paraId="043264D6" w14:textId="26A1CA3A" w:rsidR="000B48C9" w:rsidRPr="001E7605" w:rsidRDefault="00DE7FF3">
      <w:pPr>
        <w:pStyle w:val="TextoTesis"/>
      </w:pPr>
      <w:r w:rsidRPr="001E7605">
        <w:rPr>
          <w:u w:val="single"/>
        </w:rPr>
        <w:lastRenderedPageBreak/>
        <w:t>H</w:t>
      </w:r>
      <w:r w:rsidR="000B48C9" w:rsidRPr="001E7605">
        <w:rPr>
          <w:u w:val="single"/>
        </w:rPr>
        <w:t>uman hearts</w:t>
      </w:r>
      <w:r w:rsidRPr="001E7605">
        <w:rPr>
          <w:u w:val="single"/>
        </w:rPr>
        <w:t>:</w:t>
      </w:r>
      <w:r w:rsidR="000B48C9" w:rsidRPr="001E7605">
        <w:t xml:space="preserve"> 5 </w:t>
      </w:r>
      <w:proofErr w:type="spellStart"/>
      <w:r w:rsidR="000B48C9" w:rsidRPr="001E7605">
        <w:t>μm</w:t>
      </w:r>
      <w:proofErr w:type="spellEnd"/>
      <w:r w:rsidR="000B48C9" w:rsidRPr="001E7605">
        <w:t xml:space="preserve"> sections of paraffin embedded cardiac tissue mounted on slides coated with 3-aminopropyltriethoxysilane (Sigma) were used. The tissue was dewaxed at 60 ºC during 30 min and washed with xylol (twice, 5 min). Then, the tissue was rehydrated by using decreasing alcohol concentrations (100% - 96% - 70% - distilled water, 5 min in each). Afterwards, the tissue was incubated with citrate buffer (citric acid 10 mM, sodium citrate 10 mM, pH 6.0), microwaved at maximum heat for 3 min and rest for 15 min. Then, it was washed with PBS during 5 min and blocked with </w:t>
      </w:r>
      <w:r w:rsidR="00A666C4" w:rsidRPr="001E7605">
        <w:t>GS 5%</w:t>
      </w:r>
      <w:r w:rsidR="000B48C9" w:rsidRPr="001E7605">
        <w:t xml:space="preserve"> (16210-064, Gibco). Primary antibodies were diluted in 1% BSA PBS (see Table </w:t>
      </w:r>
      <w:r w:rsidR="006067CC" w:rsidRPr="001E7605">
        <w:t>6</w:t>
      </w:r>
      <w:r w:rsidR="000B48C9" w:rsidRPr="001E7605">
        <w:t xml:space="preserve">) and incubated overnight at 4 ºC in a wet chamber. After washing with PBS (5 min), the tissue was incubated with the corresponding secondary antibody (goat anti-Rabbit IgG Alexa Fluor 488, A11034, Molecular Probes) diluted at 1:100 in 1% BSA PBS during 25 min at </w:t>
      </w:r>
      <w:r w:rsidR="008D7D7C" w:rsidRPr="001E7605">
        <w:t>RT</w:t>
      </w:r>
      <w:r w:rsidR="000B48C9" w:rsidRPr="001E7605">
        <w:t xml:space="preserve">. The tissue was washed with PBS (5 min) and dried. Then, the sample was incubated with DAPI 1:500 in PBS for 5 min, washed with PBS and mounted with Prolong Diamond Antifade Mounting (P36970, Molecular Probes). Labelled cells were observed </w:t>
      </w:r>
      <w:r w:rsidRPr="001E7605">
        <w:t>under</w:t>
      </w:r>
      <w:r w:rsidR="000B48C9" w:rsidRPr="001E7605">
        <w:t xml:space="preserve"> confocal microscopy </w:t>
      </w:r>
      <w:r w:rsidRPr="001E7605">
        <w:t>(</w:t>
      </w:r>
      <w:r w:rsidR="000B48C9" w:rsidRPr="001E7605">
        <w:t>LSM710</w:t>
      </w:r>
      <w:r w:rsidRPr="001E7605">
        <w:t>,</w:t>
      </w:r>
      <w:r w:rsidR="000B48C9" w:rsidRPr="001E7605">
        <w:t xml:space="preserve"> Zeiss) and processed with FIJI and </w:t>
      </w:r>
      <w:proofErr w:type="spellStart"/>
      <w:r w:rsidR="000B48C9" w:rsidRPr="001E7605">
        <w:t>Imaris</w:t>
      </w:r>
      <w:proofErr w:type="spellEnd"/>
      <w:r w:rsidR="000B48C9" w:rsidRPr="001E7605">
        <w:t xml:space="preserve"> software programs. Z-stacks were taken every 1 </w:t>
      </w:r>
      <w:proofErr w:type="spellStart"/>
      <w:r w:rsidR="000B48C9" w:rsidRPr="001E7605">
        <w:t>μm</w:t>
      </w:r>
      <w:proofErr w:type="spellEnd"/>
      <w:r w:rsidR="000B48C9" w:rsidRPr="001E7605">
        <w:t xml:space="preserve"> and maximal projections of images were reconstructed using </w:t>
      </w:r>
      <w:proofErr w:type="spellStart"/>
      <w:r w:rsidR="000B48C9" w:rsidRPr="001E7605">
        <w:t>Imaris</w:t>
      </w:r>
      <w:proofErr w:type="spellEnd"/>
      <w:r w:rsidR="000B48C9" w:rsidRPr="001E7605">
        <w:t xml:space="preserve"> software (</w:t>
      </w:r>
      <w:proofErr w:type="spellStart"/>
      <w:r w:rsidR="000B48C9" w:rsidRPr="001E7605">
        <w:t>Bitplane</w:t>
      </w:r>
      <w:proofErr w:type="spellEnd"/>
      <w:r w:rsidR="000B48C9" w:rsidRPr="001E7605">
        <w:t xml:space="preserve"> Scientific Software) using 3 z planes. At least 4 regions were quantified per porta using </w:t>
      </w:r>
      <w:proofErr w:type="spellStart"/>
      <w:r w:rsidR="000B48C9" w:rsidRPr="001E7605">
        <w:t>Imaris</w:t>
      </w:r>
      <w:proofErr w:type="spellEnd"/>
      <w:r w:rsidR="000B48C9" w:rsidRPr="001E7605">
        <w:t>-Integrated Optical Density. Mean Gray Value (intensity mean) was used to determine the fluorescence intensity</w:t>
      </w:r>
      <w:r w:rsidR="00A666C4" w:rsidRPr="001E7605">
        <w:t>.</w:t>
      </w:r>
    </w:p>
    <w:p w14:paraId="1C531B9E" w14:textId="49329F8F" w:rsidR="000B48C9" w:rsidRPr="001E7605" w:rsidRDefault="009B0932">
      <w:pPr>
        <w:pStyle w:val="TextoTesis"/>
      </w:pPr>
      <w:r w:rsidRPr="001E7605">
        <w:rPr>
          <w:u w:val="single"/>
        </w:rPr>
        <w:t>A</w:t>
      </w:r>
      <w:r w:rsidR="000B48C9" w:rsidRPr="001E7605">
        <w:rPr>
          <w:u w:val="single"/>
        </w:rPr>
        <w:t>trial human tissue</w:t>
      </w:r>
      <w:r w:rsidR="000B48C9" w:rsidRPr="001E7605">
        <w:t xml:space="preserve"> </w:t>
      </w:r>
      <w:proofErr w:type="spellStart"/>
      <w:r w:rsidR="000B48C9" w:rsidRPr="001E7605">
        <w:t>tissue</w:t>
      </w:r>
      <w:proofErr w:type="spellEnd"/>
      <w:r w:rsidR="000B48C9" w:rsidRPr="001E7605">
        <w:t xml:space="preserve"> was fixed in 4% PFA 1h at RT and washed three times with PBS. Then, a sucrose gradient was performed</w:t>
      </w:r>
      <w:r w:rsidRPr="001E7605">
        <w:t xml:space="preserve"> as follows:</w:t>
      </w:r>
      <w:r w:rsidR="000B48C9" w:rsidRPr="001E7605">
        <w:t xml:space="preserve"> sucrose 10% in PBS 1h RT, sucrose 20% in PBS 3h in cold agitation and sucrose 30% in PBS 3h in cold agitation. During the next day, samples were frozen in OCT. 6 </w:t>
      </w:r>
      <w:proofErr w:type="spellStart"/>
      <w:r w:rsidR="000B48C9" w:rsidRPr="001E7605">
        <w:t>μm</w:t>
      </w:r>
      <w:proofErr w:type="spellEnd"/>
      <w:r w:rsidR="000B48C9" w:rsidRPr="001E7605">
        <w:t xml:space="preserve"> sections of OCT</w:t>
      </w:r>
      <w:r w:rsidRPr="001E7605">
        <w:t>-</w:t>
      </w:r>
      <w:r w:rsidR="000B48C9" w:rsidRPr="001E7605">
        <w:t>embedded tissue were sliced. The tissue was washed with PBS and incubated with 50 mM NH</w:t>
      </w:r>
      <w:r w:rsidR="000B48C9" w:rsidRPr="001E7605">
        <w:rPr>
          <w:vertAlign w:val="subscript"/>
        </w:rPr>
        <w:t>4</w:t>
      </w:r>
      <w:r w:rsidR="000B48C9" w:rsidRPr="001E7605">
        <w:t xml:space="preserve">Cl during 10 min to decrease the background fluorescence. Then, it was permeabilized with 0.2% Triton X-100 in PBS 10 min and blocked with 5% BSA in PBS during 30 min. </w:t>
      </w:r>
      <w:r w:rsidRPr="001E7605">
        <w:t>T</w:t>
      </w:r>
      <w:r w:rsidR="000B48C9" w:rsidRPr="001E7605">
        <w:t xml:space="preserve">issue was incubated with the primary antibodies at its corresponding concentration in 1% BSA overnight at 4 ºC, washed with PBS and incubated with secondary goat anti rabbit AF488 antibody (1:500 in PBS 1% BSA, Invitrogen) during 1h at RT. </w:t>
      </w:r>
      <w:r w:rsidRPr="001E7605">
        <w:t>Then</w:t>
      </w:r>
      <w:r w:rsidR="000B48C9" w:rsidRPr="001E7605">
        <w:t xml:space="preserve">, To-pro (T3605, Invitrogen) was added to dye the nuclei (1:500 in PBS). </w:t>
      </w:r>
      <w:r w:rsidRPr="001E7605">
        <w:t>Samples were</w:t>
      </w:r>
      <w:r w:rsidR="000B48C9" w:rsidRPr="001E7605">
        <w:t xml:space="preserve"> washed in PBS and in distilled water</w:t>
      </w:r>
      <w:r w:rsidRPr="001E7605">
        <w:t>,</w:t>
      </w:r>
      <w:r w:rsidR="000B48C9" w:rsidRPr="001E7605">
        <w:t xml:space="preserve"> and mounted in aqueous</w:t>
      </w:r>
      <w:r w:rsidR="000B48C9" w:rsidRPr="001E7605" w:rsidDel="00851243">
        <w:t xml:space="preserve"> </w:t>
      </w:r>
      <w:r w:rsidR="000B48C9" w:rsidRPr="001E7605">
        <w:t xml:space="preserve">medium (50% PBS, 50% glycerol). Labelled cells were observed </w:t>
      </w:r>
      <w:r w:rsidRPr="001E7605">
        <w:t>under</w:t>
      </w:r>
      <w:r w:rsidR="000B48C9" w:rsidRPr="001E7605">
        <w:t xml:space="preserve"> confocal microscopy </w:t>
      </w:r>
      <w:r w:rsidRPr="001E7605">
        <w:t>(</w:t>
      </w:r>
      <w:r w:rsidR="000B48C9" w:rsidRPr="001E7605">
        <w:t>Leica SP5</w:t>
      </w:r>
      <w:r w:rsidRPr="001E7605">
        <w:t>,</w:t>
      </w:r>
      <w:r w:rsidR="000B48C9" w:rsidRPr="001E7605">
        <w:t xml:space="preserve"> Leica) and processed with FIJI and ImageJ programs. Pearson correlation coefficient was calculated with Leica ASF</w:t>
      </w:r>
      <w:r w:rsidRPr="001E7605">
        <w:t xml:space="preserve"> </w:t>
      </w:r>
      <w:proofErr w:type="spellStart"/>
      <w:r w:rsidRPr="001E7605">
        <w:t>after</w:t>
      </w:r>
      <w:r w:rsidR="000B48C9" w:rsidRPr="001E7605">
        <w:t>selecting</w:t>
      </w:r>
      <w:proofErr w:type="spellEnd"/>
      <w:r w:rsidR="000B48C9" w:rsidRPr="001E7605">
        <w:t xml:space="preserve"> individual cells in each image.</w:t>
      </w:r>
    </w:p>
    <w:p w14:paraId="3B5746E1" w14:textId="016684FA" w:rsidR="000B48C9" w:rsidRPr="001E7605" w:rsidRDefault="000B48C9" w:rsidP="00FD1D81">
      <w:pPr>
        <w:pStyle w:val="Heading1"/>
        <w:rPr>
          <w:rStyle w:val="SubtleEmphasis"/>
          <w:lang w:val="en-GB"/>
        </w:rPr>
      </w:pPr>
      <w:bookmarkStart w:id="27" w:name="_Toc145605325"/>
      <w:r w:rsidRPr="001E7605">
        <w:rPr>
          <w:rStyle w:val="SubtleEmphasis"/>
          <w:lang w:val="en-GB"/>
        </w:rPr>
        <w:t xml:space="preserve">Table </w:t>
      </w:r>
      <w:r w:rsidR="006067CC" w:rsidRPr="001E7605">
        <w:rPr>
          <w:rStyle w:val="SubtleEmphasis"/>
          <w:lang w:val="en-GB"/>
        </w:rPr>
        <w:t>6</w:t>
      </w:r>
      <w:r w:rsidRPr="001E7605">
        <w:rPr>
          <w:rStyle w:val="SubtleEmphasis"/>
          <w:lang w:val="en-GB"/>
        </w:rPr>
        <w:t>. Primary antibodies used for western blot and immunofluorescence.</w:t>
      </w:r>
      <w:bookmarkEnd w:id="27"/>
    </w:p>
    <w:tbl>
      <w:tblPr>
        <w:tblStyle w:val="ListTable3-Accent1"/>
        <w:tblW w:w="0" w:type="auto"/>
        <w:tblLayout w:type="fixed"/>
        <w:tblLook w:val="04A0" w:firstRow="1" w:lastRow="0" w:firstColumn="1" w:lastColumn="0" w:noHBand="0" w:noVBand="1"/>
      </w:tblPr>
      <w:tblGrid>
        <w:gridCol w:w="1555"/>
        <w:gridCol w:w="1984"/>
        <w:gridCol w:w="1559"/>
        <w:gridCol w:w="1284"/>
        <w:gridCol w:w="2248"/>
      </w:tblGrid>
      <w:tr w:rsidR="00FF57DD" w:rsidRPr="001E7605" w14:paraId="477F248A" w14:textId="77777777" w:rsidTr="00FF57DD">
        <w:trPr>
          <w:cnfStyle w:val="100000000000" w:firstRow="1" w:lastRow="0" w:firstColumn="0" w:lastColumn="0" w:oddVBand="0" w:evenVBand="0" w:oddHBand="0" w:evenHBand="0" w:firstRowFirstColumn="0" w:firstRowLastColumn="0" w:lastRowFirstColumn="0" w:lastRowLastColumn="0"/>
          <w:trHeight w:val="238"/>
        </w:trPr>
        <w:tc>
          <w:tcPr>
            <w:cnfStyle w:val="001000000100" w:firstRow="0" w:lastRow="0" w:firstColumn="1" w:lastColumn="0" w:oddVBand="0" w:evenVBand="0" w:oddHBand="0" w:evenHBand="0" w:firstRowFirstColumn="1" w:firstRowLastColumn="0" w:lastRowFirstColumn="0" w:lastRowLastColumn="0"/>
            <w:tcW w:w="1555" w:type="dxa"/>
            <w:tcBorders>
              <w:top w:val="single" w:sz="4" w:space="0" w:color="auto"/>
              <w:left w:val="single" w:sz="4" w:space="0" w:color="auto"/>
              <w:bottom w:val="double" w:sz="4" w:space="0" w:color="auto"/>
            </w:tcBorders>
            <w:shd w:val="clear" w:color="auto" w:fill="F2F2F2" w:themeFill="background1" w:themeFillShade="F2"/>
          </w:tcPr>
          <w:p w14:paraId="1E46EE59" w14:textId="77777777" w:rsidR="000B48C9" w:rsidRPr="001E7605" w:rsidRDefault="000B48C9" w:rsidP="0082688A">
            <w:pPr>
              <w:spacing w:line="276" w:lineRule="auto"/>
              <w:jc w:val="center"/>
              <w:rPr>
                <w:rFonts w:ascii="Garamond" w:hAnsi="Garamond"/>
                <w:color w:val="000000" w:themeColor="text1"/>
                <w:sz w:val="22"/>
                <w:lang w:val="en-GB"/>
              </w:rPr>
            </w:pPr>
            <w:r w:rsidRPr="001E7605">
              <w:rPr>
                <w:rFonts w:ascii="Garamond" w:hAnsi="Garamond"/>
                <w:color w:val="000000" w:themeColor="text1"/>
                <w:sz w:val="22"/>
                <w:lang w:val="en-GB"/>
              </w:rPr>
              <w:t>Antibody</w:t>
            </w:r>
          </w:p>
        </w:tc>
        <w:tc>
          <w:tcPr>
            <w:tcW w:w="0" w:type="dxa"/>
            <w:tcBorders>
              <w:top w:val="single" w:sz="4" w:space="0" w:color="auto"/>
              <w:bottom w:val="double" w:sz="4" w:space="0" w:color="auto"/>
            </w:tcBorders>
            <w:shd w:val="clear" w:color="auto" w:fill="F2F2F2" w:themeFill="background1" w:themeFillShade="F2"/>
          </w:tcPr>
          <w:p w14:paraId="2232802F" w14:textId="77777777" w:rsidR="000B48C9" w:rsidRPr="001E7605" w:rsidRDefault="000B48C9" w:rsidP="0082688A">
            <w:pPr>
              <w:spacing w:line="276"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olor w:val="000000" w:themeColor="text1"/>
                <w:sz w:val="22"/>
                <w:lang w:val="en-GB"/>
              </w:rPr>
            </w:pPr>
            <w:r w:rsidRPr="001E7605">
              <w:rPr>
                <w:rFonts w:ascii="Garamond" w:hAnsi="Garamond"/>
                <w:color w:val="000000" w:themeColor="text1"/>
                <w:sz w:val="22"/>
                <w:lang w:val="en-GB"/>
              </w:rPr>
              <w:t>Type and host</w:t>
            </w:r>
          </w:p>
        </w:tc>
        <w:tc>
          <w:tcPr>
            <w:tcW w:w="0" w:type="dxa"/>
            <w:tcBorders>
              <w:top w:val="single" w:sz="4" w:space="0" w:color="auto"/>
              <w:bottom w:val="double" w:sz="4" w:space="0" w:color="auto"/>
            </w:tcBorders>
            <w:shd w:val="clear" w:color="auto" w:fill="F2F2F2" w:themeFill="background1" w:themeFillShade="F2"/>
          </w:tcPr>
          <w:p w14:paraId="066C593A" w14:textId="77777777" w:rsidR="000B48C9" w:rsidRPr="001E7605" w:rsidRDefault="000B48C9" w:rsidP="0082688A">
            <w:pPr>
              <w:spacing w:line="276"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olor w:val="000000" w:themeColor="text1"/>
                <w:sz w:val="22"/>
                <w:lang w:val="en-GB"/>
              </w:rPr>
            </w:pPr>
            <w:r w:rsidRPr="001E7605">
              <w:rPr>
                <w:rFonts w:ascii="Garamond" w:hAnsi="Garamond"/>
                <w:color w:val="000000" w:themeColor="text1"/>
                <w:sz w:val="22"/>
                <w:lang w:val="en-GB"/>
              </w:rPr>
              <w:t>Dilution WB</w:t>
            </w:r>
          </w:p>
        </w:tc>
        <w:tc>
          <w:tcPr>
            <w:tcW w:w="0" w:type="dxa"/>
            <w:tcBorders>
              <w:top w:val="single" w:sz="4" w:space="0" w:color="auto"/>
              <w:bottom w:val="double" w:sz="4" w:space="0" w:color="auto"/>
            </w:tcBorders>
            <w:shd w:val="clear" w:color="auto" w:fill="F2F2F2" w:themeFill="background1" w:themeFillShade="F2"/>
          </w:tcPr>
          <w:p w14:paraId="05A7CADC" w14:textId="77777777" w:rsidR="000B48C9" w:rsidRPr="001E7605" w:rsidRDefault="000B48C9" w:rsidP="0082688A">
            <w:pPr>
              <w:spacing w:line="276"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olor w:val="000000" w:themeColor="text1"/>
                <w:sz w:val="22"/>
                <w:lang w:val="en-GB"/>
              </w:rPr>
            </w:pPr>
            <w:r w:rsidRPr="001E7605">
              <w:rPr>
                <w:rFonts w:ascii="Garamond" w:hAnsi="Garamond"/>
                <w:color w:val="000000" w:themeColor="text1"/>
                <w:sz w:val="22"/>
                <w:lang w:val="en-GB"/>
              </w:rPr>
              <w:t>Dilution IF</w:t>
            </w:r>
          </w:p>
        </w:tc>
        <w:tc>
          <w:tcPr>
            <w:tcW w:w="2248" w:type="dxa"/>
            <w:tcBorders>
              <w:top w:val="single" w:sz="4" w:space="0" w:color="auto"/>
              <w:bottom w:val="double" w:sz="4" w:space="0" w:color="auto"/>
              <w:right w:val="single" w:sz="4" w:space="0" w:color="auto"/>
            </w:tcBorders>
            <w:shd w:val="clear" w:color="auto" w:fill="F2F2F2" w:themeFill="background1" w:themeFillShade="F2"/>
          </w:tcPr>
          <w:p w14:paraId="111E03A9" w14:textId="77777777" w:rsidR="000B48C9" w:rsidRPr="001E7605" w:rsidRDefault="000B48C9" w:rsidP="0082688A">
            <w:pPr>
              <w:spacing w:line="276"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olor w:val="000000" w:themeColor="text1"/>
                <w:sz w:val="22"/>
                <w:lang w:val="en-GB"/>
              </w:rPr>
            </w:pPr>
            <w:r w:rsidRPr="001E7605">
              <w:rPr>
                <w:rFonts w:ascii="Garamond" w:hAnsi="Garamond"/>
                <w:color w:val="000000" w:themeColor="text1"/>
                <w:sz w:val="22"/>
                <w:lang w:val="en-GB"/>
              </w:rPr>
              <w:t>Reference and origin</w:t>
            </w:r>
          </w:p>
        </w:tc>
      </w:tr>
      <w:tr w:rsidR="000B48C9" w:rsidRPr="001E7605" w14:paraId="792C912C" w14:textId="77777777" w:rsidTr="00381E1F">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555" w:type="dxa"/>
            <w:tcBorders>
              <w:top w:val="double" w:sz="4" w:space="0" w:color="auto"/>
              <w:left w:val="single" w:sz="4" w:space="0" w:color="auto"/>
              <w:bottom w:val="nil"/>
            </w:tcBorders>
          </w:tcPr>
          <w:p w14:paraId="73A99A2C"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Anti-K</w:t>
            </w:r>
            <w:r w:rsidRPr="001E7605">
              <w:rPr>
                <w:rFonts w:ascii="Garamond" w:hAnsi="Garamond"/>
                <w:sz w:val="22"/>
                <w:vertAlign w:val="subscript"/>
                <w:lang w:val="en-GB"/>
              </w:rPr>
              <w:t>V</w:t>
            </w:r>
            <w:r w:rsidRPr="001E7605">
              <w:rPr>
                <w:rFonts w:ascii="Garamond" w:hAnsi="Garamond"/>
                <w:sz w:val="22"/>
                <w:lang w:val="en-GB"/>
              </w:rPr>
              <w:t>1.5</w:t>
            </w:r>
          </w:p>
        </w:tc>
        <w:tc>
          <w:tcPr>
            <w:tcW w:w="1984" w:type="dxa"/>
            <w:tcBorders>
              <w:top w:val="double" w:sz="4" w:space="0" w:color="auto"/>
              <w:bottom w:val="nil"/>
            </w:tcBorders>
          </w:tcPr>
          <w:p w14:paraId="4C8C743B"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Polyclonal Rabbit</w:t>
            </w:r>
          </w:p>
        </w:tc>
        <w:tc>
          <w:tcPr>
            <w:tcW w:w="1559" w:type="dxa"/>
            <w:tcBorders>
              <w:top w:val="double" w:sz="4" w:space="0" w:color="auto"/>
              <w:bottom w:val="nil"/>
            </w:tcBorders>
          </w:tcPr>
          <w:p w14:paraId="4353EB27"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1:1000</w:t>
            </w:r>
          </w:p>
        </w:tc>
        <w:tc>
          <w:tcPr>
            <w:tcW w:w="1284" w:type="dxa"/>
            <w:tcBorders>
              <w:top w:val="double" w:sz="4" w:space="0" w:color="auto"/>
              <w:bottom w:val="nil"/>
            </w:tcBorders>
          </w:tcPr>
          <w:p w14:paraId="05710A58"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1:200</w:t>
            </w:r>
          </w:p>
        </w:tc>
        <w:tc>
          <w:tcPr>
            <w:tcW w:w="2248" w:type="dxa"/>
            <w:tcBorders>
              <w:top w:val="double" w:sz="4" w:space="0" w:color="auto"/>
              <w:bottom w:val="nil"/>
              <w:right w:val="single" w:sz="4" w:space="0" w:color="auto"/>
            </w:tcBorders>
          </w:tcPr>
          <w:p w14:paraId="5CA676E8"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 xml:space="preserve">APC004, </w:t>
            </w:r>
            <w:proofErr w:type="spellStart"/>
            <w:r w:rsidRPr="001E7605">
              <w:rPr>
                <w:rFonts w:ascii="Garamond" w:hAnsi="Garamond"/>
                <w:sz w:val="22"/>
                <w:lang w:val="en-GB"/>
              </w:rPr>
              <w:t>Alomone</w:t>
            </w:r>
            <w:proofErr w:type="spellEnd"/>
          </w:p>
        </w:tc>
      </w:tr>
      <w:tr w:rsidR="000B48C9" w:rsidRPr="001E7605" w14:paraId="76871A0B" w14:textId="77777777" w:rsidTr="00381E1F">
        <w:trPr>
          <w:trHeight w:val="238"/>
        </w:trPr>
        <w:tc>
          <w:tcPr>
            <w:cnfStyle w:val="001000000000" w:firstRow="0" w:lastRow="0" w:firstColumn="1" w:lastColumn="0" w:oddVBand="0" w:evenVBand="0" w:oddHBand="0" w:evenHBand="0" w:firstRowFirstColumn="0" w:firstRowLastColumn="0" w:lastRowFirstColumn="0" w:lastRowLastColumn="0"/>
            <w:tcW w:w="1555" w:type="dxa"/>
            <w:tcBorders>
              <w:left w:val="single" w:sz="4" w:space="0" w:color="auto"/>
              <w:bottom w:val="nil"/>
            </w:tcBorders>
          </w:tcPr>
          <w:p w14:paraId="3DCA3E98"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Anti-K</w:t>
            </w:r>
            <w:r w:rsidRPr="001E7605">
              <w:rPr>
                <w:rFonts w:ascii="Garamond" w:hAnsi="Garamond"/>
                <w:sz w:val="22"/>
                <w:vertAlign w:val="subscript"/>
                <w:lang w:val="en-GB"/>
              </w:rPr>
              <w:t>V</w:t>
            </w:r>
            <w:r w:rsidRPr="001E7605">
              <w:rPr>
                <w:rFonts w:ascii="Garamond" w:hAnsi="Garamond"/>
                <w:sz w:val="22"/>
                <w:lang w:val="en-GB"/>
              </w:rPr>
              <w:t>1.5</w:t>
            </w:r>
            <w:r w:rsidRPr="001E7605">
              <w:rPr>
                <w:rFonts w:ascii="Garamond" w:hAnsi="Garamond"/>
                <w:sz w:val="22"/>
                <w:vertAlign w:val="subscript"/>
                <w:lang w:val="en-GB"/>
              </w:rPr>
              <w:t>ext</w:t>
            </w:r>
          </w:p>
        </w:tc>
        <w:tc>
          <w:tcPr>
            <w:tcW w:w="1984" w:type="dxa"/>
            <w:tcBorders>
              <w:bottom w:val="nil"/>
            </w:tcBorders>
          </w:tcPr>
          <w:p w14:paraId="12D01F91"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Polyclonal Rabbit</w:t>
            </w:r>
          </w:p>
        </w:tc>
        <w:tc>
          <w:tcPr>
            <w:tcW w:w="1559" w:type="dxa"/>
            <w:tcBorders>
              <w:bottom w:val="nil"/>
            </w:tcBorders>
          </w:tcPr>
          <w:p w14:paraId="5557C90D"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w:t>
            </w:r>
          </w:p>
        </w:tc>
        <w:tc>
          <w:tcPr>
            <w:tcW w:w="1284" w:type="dxa"/>
            <w:tcBorders>
              <w:bottom w:val="nil"/>
            </w:tcBorders>
          </w:tcPr>
          <w:p w14:paraId="23C8ED96"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1:50</w:t>
            </w:r>
          </w:p>
        </w:tc>
        <w:tc>
          <w:tcPr>
            <w:tcW w:w="2248" w:type="dxa"/>
            <w:tcBorders>
              <w:bottom w:val="nil"/>
              <w:right w:val="single" w:sz="4" w:space="0" w:color="auto"/>
            </w:tcBorders>
          </w:tcPr>
          <w:p w14:paraId="6E4F629D"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 xml:space="preserve">APC150, </w:t>
            </w:r>
            <w:proofErr w:type="spellStart"/>
            <w:r w:rsidRPr="001E7605">
              <w:rPr>
                <w:rFonts w:ascii="Garamond" w:hAnsi="Garamond"/>
                <w:sz w:val="22"/>
                <w:lang w:val="en-GB"/>
              </w:rPr>
              <w:t>Alomone</w:t>
            </w:r>
            <w:proofErr w:type="spellEnd"/>
          </w:p>
        </w:tc>
      </w:tr>
      <w:tr w:rsidR="000B48C9" w:rsidRPr="001E7605" w14:paraId="11F6E2A7" w14:textId="77777777" w:rsidTr="00381E1F">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555" w:type="dxa"/>
            <w:tcBorders>
              <w:top w:val="nil"/>
              <w:left w:val="single" w:sz="4" w:space="0" w:color="auto"/>
              <w:bottom w:val="nil"/>
            </w:tcBorders>
          </w:tcPr>
          <w:p w14:paraId="37FEFF53" w14:textId="77777777" w:rsidR="000B48C9" w:rsidRPr="00A945AB" w:rsidRDefault="000B48C9" w:rsidP="0082688A">
            <w:pPr>
              <w:spacing w:line="276" w:lineRule="auto"/>
              <w:jc w:val="center"/>
              <w:rPr>
                <w:rFonts w:ascii="Garamond" w:hAnsi="Garamond"/>
                <w:sz w:val="22"/>
                <w:lang w:val="en-GB"/>
              </w:rPr>
            </w:pPr>
            <w:r w:rsidRPr="001E7605">
              <w:rPr>
                <w:rFonts w:ascii="Garamond" w:hAnsi="Garamond"/>
                <w:sz w:val="22"/>
                <w:lang w:val="en-GB"/>
              </w:rPr>
              <w:t>Anti-K</w:t>
            </w:r>
            <w:r w:rsidRPr="001E7605">
              <w:rPr>
                <w:rFonts w:ascii="Garamond" w:hAnsi="Garamond"/>
                <w:sz w:val="22"/>
                <w:vertAlign w:val="subscript"/>
                <w:lang w:val="en-GB"/>
              </w:rPr>
              <w:t>V</w:t>
            </w:r>
            <w:r w:rsidRPr="001E7605">
              <w:rPr>
                <w:rFonts w:ascii="Garamond" w:hAnsi="Garamond"/>
                <w:sz w:val="22"/>
                <w:lang w:val="en-GB"/>
              </w:rPr>
              <w:t>4.3</w:t>
            </w:r>
          </w:p>
        </w:tc>
        <w:tc>
          <w:tcPr>
            <w:tcW w:w="1984" w:type="dxa"/>
            <w:tcBorders>
              <w:top w:val="nil"/>
              <w:bottom w:val="nil"/>
            </w:tcBorders>
          </w:tcPr>
          <w:p w14:paraId="4C95D936" w14:textId="77777777" w:rsidR="000B48C9" w:rsidRPr="00A945AB"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Polyclonal Rabbit</w:t>
            </w:r>
          </w:p>
        </w:tc>
        <w:tc>
          <w:tcPr>
            <w:tcW w:w="1559" w:type="dxa"/>
            <w:tcBorders>
              <w:top w:val="nil"/>
              <w:bottom w:val="nil"/>
            </w:tcBorders>
          </w:tcPr>
          <w:p w14:paraId="2BBAC017" w14:textId="77777777" w:rsidR="000B48C9" w:rsidRPr="00A945AB"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w:t>
            </w:r>
          </w:p>
        </w:tc>
        <w:tc>
          <w:tcPr>
            <w:tcW w:w="1284" w:type="dxa"/>
            <w:tcBorders>
              <w:top w:val="nil"/>
              <w:bottom w:val="nil"/>
            </w:tcBorders>
          </w:tcPr>
          <w:p w14:paraId="3667F32B" w14:textId="77777777" w:rsidR="000B48C9" w:rsidRPr="00A945AB"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1:200</w:t>
            </w:r>
          </w:p>
        </w:tc>
        <w:tc>
          <w:tcPr>
            <w:tcW w:w="2248" w:type="dxa"/>
            <w:tcBorders>
              <w:top w:val="nil"/>
              <w:bottom w:val="nil"/>
              <w:right w:val="single" w:sz="4" w:space="0" w:color="auto"/>
            </w:tcBorders>
          </w:tcPr>
          <w:p w14:paraId="4CE89708" w14:textId="77777777" w:rsidR="000B48C9" w:rsidRPr="00A945AB"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 xml:space="preserve">APC017, </w:t>
            </w:r>
            <w:proofErr w:type="spellStart"/>
            <w:r w:rsidRPr="001E7605">
              <w:rPr>
                <w:rFonts w:ascii="Garamond" w:hAnsi="Garamond"/>
                <w:sz w:val="22"/>
                <w:lang w:val="en-GB"/>
              </w:rPr>
              <w:t>Alomone</w:t>
            </w:r>
            <w:proofErr w:type="spellEnd"/>
          </w:p>
        </w:tc>
      </w:tr>
      <w:tr w:rsidR="000B48C9" w:rsidRPr="001E7605" w14:paraId="71F2CF64" w14:textId="77777777" w:rsidTr="00381E1F">
        <w:trPr>
          <w:trHeight w:val="238"/>
        </w:trPr>
        <w:tc>
          <w:tcPr>
            <w:cnfStyle w:val="001000000000" w:firstRow="0" w:lastRow="0" w:firstColumn="1" w:lastColumn="0" w:oddVBand="0" w:evenVBand="0" w:oddHBand="0" w:evenHBand="0" w:firstRowFirstColumn="0" w:firstRowLastColumn="0" w:lastRowFirstColumn="0" w:lastRowLastColumn="0"/>
            <w:tcW w:w="1555" w:type="dxa"/>
            <w:tcBorders>
              <w:top w:val="nil"/>
              <w:left w:val="single" w:sz="4" w:space="0" w:color="auto"/>
              <w:bottom w:val="nil"/>
            </w:tcBorders>
          </w:tcPr>
          <w:p w14:paraId="4761E4DA"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Anti-Lgi3</w:t>
            </w:r>
          </w:p>
        </w:tc>
        <w:tc>
          <w:tcPr>
            <w:tcW w:w="1984" w:type="dxa"/>
            <w:tcBorders>
              <w:top w:val="nil"/>
              <w:bottom w:val="nil"/>
            </w:tcBorders>
          </w:tcPr>
          <w:p w14:paraId="11956447"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Polyclonal Rabbit</w:t>
            </w:r>
          </w:p>
        </w:tc>
        <w:tc>
          <w:tcPr>
            <w:tcW w:w="1559" w:type="dxa"/>
            <w:tcBorders>
              <w:top w:val="nil"/>
              <w:bottom w:val="nil"/>
            </w:tcBorders>
          </w:tcPr>
          <w:p w14:paraId="2B34AC8B"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1:1000</w:t>
            </w:r>
          </w:p>
        </w:tc>
        <w:tc>
          <w:tcPr>
            <w:tcW w:w="1284" w:type="dxa"/>
            <w:tcBorders>
              <w:top w:val="nil"/>
              <w:bottom w:val="nil"/>
            </w:tcBorders>
          </w:tcPr>
          <w:p w14:paraId="1ECC258B"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1:200</w:t>
            </w:r>
          </w:p>
        </w:tc>
        <w:tc>
          <w:tcPr>
            <w:tcW w:w="2248" w:type="dxa"/>
            <w:tcBorders>
              <w:top w:val="nil"/>
              <w:bottom w:val="nil"/>
              <w:right w:val="single" w:sz="4" w:space="0" w:color="auto"/>
            </w:tcBorders>
          </w:tcPr>
          <w:p w14:paraId="18C8FF32"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ab113950, Abcam</w:t>
            </w:r>
          </w:p>
        </w:tc>
      </w:tr>
      <w:tr w:rsidR="000B48C9" w:rsidRPr="001E7605" w14:paraId="1AD68174" w14:textId="77777777" w:rsidTr="00381E1F">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555" w:type="dxa"/>
            <w:tcBorders>
              <w:top w:val="nil"/>
              <w:left w:val="single" w:sz="4" w:space="0" w:color="auto"/>
              <w:bottom w:val="nil"/>
            </w:tcBorders>
            <w:vAlign w:val="center"/>
          </w:tcPr>
          <w:p w14:paraId="0B0B324E"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Anti-Lgi3</w:t>
            </w:r>
          </w:p>
        </w:tc>
        <w:tc>
          <w:tcPr>
            <w:tcW w:w="1984" w:type="dxa"/>
            <w:tcBorders>
              <w:top w:val="nil"/>
              <w:bottom w:val="nil"/>
            </w:tcBorders>
            <w:vAlign w:val="center"/>
          </w:tcPr>
          <w:p w14:paraId="4795A14B"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Polyclonal Rabbit</w:t>
            </w:r>
          </w:p>
        </w:tc>
        <w:tc>
          <w:tcPr>
            <w:tcW w:w="1559" w:type="dxa"/>
            <w:tcBorders>
              <w:top w:val="nil"/>
              <w:bottom w:val="nil"/>
            </w:tcBorders>
            <w:vAlign w:val="center"/>
          </w:tcPr>
          <w:p w14:paraId="5259949C"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1:500</w:t>
            </w:r>
          </w:p>
        </w:tc>
        <w:tc>
          <w:tcPr>
            <w:tcW w:w="1284" w:type="dxa"/>
            <w:tcBorders>
              <w:top w:val="nil"/>
              <w:bottom w:val="nil"/>
            </w:tcBorders>
            <w:vAlign w:val="center"/>
          </w:tcPr>
          <w:p w14:paraId="51A700C2"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1:100</w:t>
            </w:r>
          </w:p>
        </w:tc>
        <w:tc>
          <w:tcPr>
            <w:tcW w:w="2248" w:type="dxa"/>
            <w:tcBorders>
              <w:top w:val="nil"/>
              <w:bottom w:val="nil"/>
              <w:right w:val="single" w:sz="4" w:space="0" w:color="auto"/>
            </w:tcBorders>
            <w:vAlign w:val="center"/>
          </w:tcPr>
          <w:p w14:paraId="0ED4F563"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 xml:space="preserve">21919-1-AP, </w:t>
            </w:r>
            <w:proofErr w:type="spellStart"/>
            <w:r w:rsidRPr="001E7605">
              <w:rPr>
                <w:rFonts w:ascii="Garamond" w:hAnsi="Garamond"/>
                <w:sz w:val="22"/>
                <w:lang w:val="en-GB"/>
              </w:rPr>
              <w:t>Proteintech</w:t>
            </w:r>
            <w:proofErr w:type="spellEnd"/>
          </w:p>
        </w:tc>
      </w:tr>
      <w:tr w:rsidR="000B48C9" w:rsidRPr="001E7605" w14:paraId="623D4ABE" w14:textId="77777777" w:rsidTr="00381E1F">
        <w:trPr>
          <w:trHeight w:val="238"/>
        </w:trPr>
        <w:tc>
          <w:tcPr>
            <w:cnfStyle w:val="001000000000" w:firstRow="0" w:lastRow="0" w:firstColumn="1" w:lastColumn="0" w:oddVBand="0" w:evenVBand="0" w:oddHBand="0" w:evenHBand="0" w:firstRowFirstColumn="0" w:firstRowLastColumn="0" w:lastRowFirstColumn="0" w:lastRowLastColumn="0"/>
            <w:tcW w:w="1555" w:type="dxa"/>
            <w:tcBorders>
              <w:top w:val="nil"/>
              <w:left w:val="single" w:sz="4" w:space="0" w:color="auto"/>
              <w:bottom w:val="nil"/>
            </w:tcBorders>
          </w:tcPr>
          <w:p w14:paraId="3230F23E"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Anti-Lgi4</w:t>
            </w:r>
          </w:p>
        </w:tc>
        <w:tc>
          <w:tcPr>
            <w:tcW w:w="1984" w:type="dxa"/>
            <w:tcBorders>
              <w:top w:val="nil"/>
              <w:bottom w:val="nil"/>
            </w:tcBorders>
          </w:tcPr>
          <w:p w14:paraId="1ACA09B8"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Polyclonal Rabbit</w:t>
            </w:r>
          </w:p>
        </w:tc>
        <w:tc>
          <w:tcPr>
            <w:tcW w:w="1559" w:type="dxa"/>
            <w:tcBorders>
              <w:top w:val="nil"/>
              <w:bottom w:val="nil"/>
            </w:tcBorders>
          </w:tcPr>
          <w:p w14:paraId="53E39F79"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trike/>
                <w:sz w:val="22"/>
                <w:lang w:val="en-GB"/>
              </w:rPr>
              <w:t>-</w:t>
            </w:r>
          </w:p>
        </w:tc>
        <w:tc>
          <w:tcPr>
            <w:tcW w:w="1284" w:type="dxa"/>
            <w:tcBorders>
              <w:top w:val="nil"/>
              <w:bottom w:val="nil"/>
            </w:tcBorders>
          </w:tcPr>
          <w:p w14:paraId="5E69D7AC"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1:50</w:t>
            </w:r>
          </w:p>
        </w:tc>
        <w:tc>
          <w:tcPr>
            <w:tcW w:w="2248" w:type="dxa"/>
            <w:tcBorders>
              <w:top w:val="nil"/>
              <w:bottom w:val="nil"/>
              <w:right w:val="single" w:sz="4" w:space="0" w:color="auto"/>
            </w:tcBorders>
          </w:tcPr>
          <w:p w14:paraId="1D83BED9"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HPA043556, Sigma</w:t>
            </w:r>
          </w:p>
        </w:tc>
      </w:tr>
      <w:tr w:rsidR="000B48C9" w:rsidRPr="001E7605" w14:paraId="28EDE79A" w14:textId="77777777" w:rsidTr="00381E1F">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555" w:type="dxa"/>
            <w:tcBorders>
              <w:top w:val="nil"/>
              <w:left w:val="single" w:sz="4" w:space="0" w:color="auto"/>
              <w:bottom w:val="nil"/>
            </w:tcBorders>
            <w:vAlign w:val="center"/>
          </w:tcPr>
          <w:p w14:paraId="646958E7"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Anti-Lgi4</w:t>
            </w:r>
          </w:p>
        </w:tc>
        <w:tc>
          <w:tcPr>
            <w:tcW w:w="1984" w:type="dxa"/>
            <w:tcBorders>
              <w:top w:val="nil"/>
              <w:bottom w:val="nil"/>
            </w:tcBorders>
            <w:vAlign w:val="center"/>
          </w:tcPr>
          <w:p w14:paraId="388475C1"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Monoclonal Rat</w:t>
            </w:r>
          </w:p>
        </w:tc>
        <w:tc>
          <w:tcPr>
            <w:tcW w:w="1559" w:type="dxa"/>
            <w:tcBorders>
              <w:top w:val="nil"/>
              <w:bottom w:val="nil"/>
            </w:tcBorders>
            <w:vAlign w:val="center"/>
          </w:tcPr>
          <w:p w14:paraId="4CA62CCD"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trike/>
                <w:sz w:val="22"/>
                <w:lang w:val="en-GB"/>
              </w:rPr>
            </w:pPr>
            <w:r w:rsidRPr="001E7605">
              <w:rPr>
                <w:rFonts w:ascii="Garamond" w:hAnsi="Garamond"/>
                <w:sz w:val="22"/>
                <w:lang w:val="en-GB"/>
              </w:rPr>
              <w:t>1:300</w:t>
            </w:r>
          </w:p>
        </w:tc>
        <w:tc>
          <w:tcPr>
            <w:tcW w:w="1284" w:type="dxa"/>
            <w:tcBorders>
              <w:top w:val="nil"/>
              <w:bottom w:val="nil"/>
            </w:tcBorders>
            <w:vAlign w:val="center"/>
          </w:tcPr>
          <w:p w14:paraId="1E119D73"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w:t>
            </w:r>
          </w:p>
        </w:tc>
        <w:tc>
          <w:tcPr>
            <w:tcW w:w="2248" w:type="dxa"/>
            <w:tcBorders>
              <w:top w:val="nil"/>
              <w:bottom w:val="nil"/>
              <w:right w:val="single" w:sz="4" w:space="0" w:color="auto"/>
            </w:tcBorders>
            <w:vAlign w:val="center"/>
          </w:tcPr>
          <w:p w14:paraId="24D20A9D"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 xml:space="preserve">011311H12, </w:t>
            </w:r>
            <w:proofErr w:type="spellStart"/>
            <w:r w:rsidRPr="001E7605">
              <w:rPr>
                <w:rFonts w:ascii="Garamond" w:hAnsi="Garamond"/>
                <w:sz w:val="22"/>
                <w:lang w:val="en-GB"/>
              </w:rPr>
              <w:t>Absea</w:t>
            </w:r>
            <w:proofErr w:type="spellEnd"/>
            <w:r w:rsidRPr="001E7605">
              <w:rPr>
                <w:rFonts w:ascii="Garamond" w:hAnsi="Garamond"/>
                <w:sz w:val="22"/>
                <w:lang w:val="en-GB"/>
              </w:rPr>
              <w:t xml:space="preserve"> Biotechnology</w:t>
            </w:r>
          </w:p>
        </w:tc>
      </w:tr>
      <w:tr w:rsidR="000B48C9" w:rsidRPr="001E7605" w14:paraId="0A4617E7" w14:textId="77777777" w:rsidTr="00381E1F">
        <w:trPr>
          <w:trHeight w:val="238"/>
        </w:trPr>
        <w:tc>
          <w:tcPr>
            <w:cnfStyle w:val="001000000000" w:firstRow="0" w:lastRow="0" w:firstColumn="1" w:lastColumn="0" w:oddVBand="0" w:evenVBand="0" w:oddHBand="0" w:evenHBand="0" w:firstRowFirstColumn="0" w:firstRowLastColumn="0" w:lastRowFirstColumn="0" w:lastRowLastColumn="0"/>
            <w:tcW w:w="1555" w:type="dxa"/>
            <w:tcBorders>
              <w:top w:val="nil"/>
              <w:left w:val="single" w:sz="4" w:space="0" w:color="auto"/>
              <w:bottom w:val="nil"/>
            </w:tcBorders>
            <w:vAlign w:val="center"/>
          </w:tcPr>
          <w:p w14:paraId="49DACC1F"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Anti-Lgi1</w:t>
            </w:r>
          </w:p>
        </w:tc>
        <w:tc>
          <w:tcPr>
            <w:tcW w:w="1984" w:type="dxa"/>
            <w:tcBorders>
              <w:top w:val="nil"/>
              <w:bottom w:val="nil"/>
            </w:tcBorders>
            <w:vAlign w:val="center"/>
          </w:tcPr>
          <w:p w14:paraId="69D59E8C"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Polyclonal Goat</w:t>
            </w:r>
          </w:p>
        </w:tc>
        <w:tc>
          <w:tcPr>
            <w:tcW w:w="1559" w:type="dxa"/>
            <w:tcBorders>
              <w:top w:val="nil"/>
              <w:bottom w:val="nil"/>
            </w:tcBorders>
            <w:vAlign w:val="center"/>
          </w:tcPr>
          <w:p w14:paraId="4330402B"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w:t>
            </w:r>
          </w:p>
        </w:tc>
        <w:tc>
          <w:tcPr>
            <w:tcW w:w="1284" w:type="dxa"/>
            <w:tcBorders>
              <w:top w:val="nil"/>
              <w:bottom w:val="nil"/>
            </w:tcBorders>
            <w:vAlign w:val="center"/>
          </w:tcPr>
          <w:p w14:paraId="2D1A8D43"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1:100</w:t>
            </w:r>
          </w:p>
        </w:tc>
        <w:tc>
          <w:tcPr>
            <w:tcW w:w="2248" w:type="dxa"/>
            <w:tcBorders>
              <w:top w:val="nil"/>
              <w:bottom w:val="nil"/>
              <w:right w:val="single" w:sz="4" w:space="0" w:color="auto"/>
            </w:tcBorders>
            <w:vAlign w:val="center"/>
          </w:tcPr>
          <w:p w14:paraId="6EA9FC6F"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Sc9581, Santa Cruz Biotech</w:t>
            </w:r>
          </w:p>
        </w:tc>
      </w:tr>
      <w:tr w:rsidR="000B48C9" w:rsidRPr="001E7605" w14:paraId="76D04194" w14:textId="77777777" w:rsidTr="00381E1F">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555" w:type="dxa"/>
            <w:tcBorders>
              <w:top w:val="nil"/>
              <w:left w:val="single" w:sz="4" w:space="0" w:color="auto"/>
              <w:bottom w:val="nil"/>
            </w:tcBorders>
          </w:tcPr>
          <w:p w14:paraId="3E0FA9D9"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lastRenderedPageBreak/>
              <w:t>Anti-Lgi2</w:t>
            </w:r>
          </w:p>
        </w:tc>
        <w:tc>
          <w:tcPr>
            <w:tcW w:w="1984" w:type="dxa"/>
            <w:tcBorders>
              <w:top w:val="nil"/>
              <w:bottom w:val="nil"/>
            </w:tcBorders>
          </w:tcPr>
          <w:p w14:paraId="79F3B4C2"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Polyclonal Rabbit</w:t>
            </w:r>
          </w:p>
        </w:tc>
        <w:tc>
          <w:tcPr>
            <w:tcW w:w="1559" w:type="dxa"/>
            <w:tcBorders>
              <w:top w:val="nil"/>
              <w:bottom w:val="nil"/>
            </w:tcBorders>
          </w:tcPr>
          <w:p w14:paraId="156A68E5"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w:t>
            </w:r>
          </w:p>
        </w:tc>
        <w:tc>
          <w:tcPr>
            <w:tcW w:w="1284" w:type="dxa"/>
            <w:tcBorders>
              <w:top w:val="nil"/>
              <w:bottom w:val="nil"/>
            </w:tcBorders>
          </w:tcPr>
          <w:p w14:paraId="2E46DAC1"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1:100</w:t>
            </w:r>
          </w:p>
        </w:tc>
        <w:tc>
          <w:tcPr>
            <w:tcW w:w="2248" w:type="dxa"/>
            <w:tcBorders>
              <w:top w:val="nil"/>
              <w:bottom w:val="nil"/>
              <w:right w:val="single" w:sz="4" w:space="0" w:color="auto"/>
            </w:tcBorders>
          </w:tcPr>
          <w:p w14:paraId="6F42F57A"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HPA017140, Sigma</w:t>
            </w:r>
          </w:p>
        </w:tc>
      </w:tr>
      <w:tr w:rsidR="000B48C9" w:rsidRPr="001E7605" w14:paraId="54F4A03C" w14:textId="77777777" w:rsidTr="00381E1F">
        <w:trPr>
          <w:trHeight w:val="238"/>
        </w:trPr>
        <w:tc>
          <w:tcPr>
            <w:cnfStyle w:val="001000000000" w:firstRow="0" w:lastRow="0" w:firstColumn="1" w:lastColumn="0" w:oddVBand="0" w:evenVBand="0" w:oddHBand="0" w:evenHBand="0" w:firstRowFirstColumn="0" w:firstRowLastColumn="0" w:lastRowFirstColumn="0" w:lastRowLastColumn="0"/>
            <w:tcW w:w="1555" w:type="dxa"/>
            <w:tcBorders>
              <w:top w:val="nil"/>
              <w:left w:val="single" w:sz="4" w:space="0" w:color="auto"/>
              <w:bottom w:val="nil"/>
            </w:tcBorders>
          </w:tcPr>
          <w:p w14:paraId="2E70B923"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Anti-FLAG</w:t>
            </w:r>
          </w:p>
        </w:tc>
        <w:tc>
          <w:tcPr>
            <w:tcW w:w="1984" w:type="dxa"/>
            <w:tcBorders>
              <w:top w:val="nil"/>
              <w:bottom w:val="nil"/>
            </w:tcBorders>
          </w:tcPr>
          <w:p w14:paraId="357B3C9F"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Polyclonal Rabbit</w:t>
            </w:r>
          </w:p>
        </w:tc>
        <w:tc>
          <w:tcPr>
            <w:tcW w:w="1559" w:type="dxa"/>
            <w:tcBorders>
              <w:top w:val="nil"/>
              <w:bottom w:val="nil"/>
            </w:tcBorders>
          </w:tcPr>
          <w:p w14:paraId="53D16F7C"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 xml:space="preserve">1 </w:t>
            </w:r>
            <w:proofErr w:type="spellStart"/>
            <w:r w:rsidRPr="001E7605">
              <w:rPr>
                <w:rFonts w:ascii="Garamond" w:hAnsi="Garamond"/>
                <w:sz w:val="22"/>
                <w:lang w:val="en-GB"/>
              </w:rPr>
              <w:t>μg</w:t>
            </w:r>
            <w:proofErr w:type="spellEnd"/>
            <w:r w:rsidRPr="001E7605">
              <w:rPr>
                <w:rFonts w:ascii="Garamond" w:hAnsi="Garamond"/>
                <w:sz w:val="22"/>
                <w:lang w:val="en-GB"/>
              </w:rPr>
              <w:t>/ml</w:t>
            </w:r>
          </w:p>
        </w:tc>
        <w:tc>
          <w:tcPr>
            <w:tcW w:w="1284" w:type="dxa"/>
            <w:tcBorders>
              <w:top w:val="nil"/>
              <w:bottom w:val="nil"/>
            </w:tcBorders>
          </w:tcPr>
          <w:p w14:paraId="24AECC14"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1:1000</w:t>
            </w:r>
          </w:p>
        </w:tc>
        <w:tc>
          <w:tcPr>
            <w:tcW w:w="2248" w:type="dxa"/>
            <w:tcBorders>
              <w:top w:val="nil"/>
              <w:bottom w:val="nil"/>
              <w:right w:val="single" w:sz="4" w:space="0" w:color="auto"/>
            </w:tcBorders>
          </w:tcPr>
          <w:p w14:paraId="60D7E18C"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F7425, Sigma</w:t>
            </w:r>
          </w:p>
        </w:tc>
      </w:tr>
      <w:tr w:rsidR="000B48C9" w:rsidRPr="001E7605" w14:paraId="49CF50B1" w14:textId="77777777" w:rsidTr="00381E1F">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555" w:type="dxa"/>
            <w:tcBorders>
              <w:top w:val="nil"/>
              <w:left w:val="single" w:sz="4" w:space="0" w:color="auto"/>
              <w:bottom w:val="nil"/>
            </w:tcBorders>
          </w:tcPr>
          <w:p w14:paraId="47B3F89C"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Anti-FLAG</w:t>
            </w:r>
          </w:p>
        </w:tc>
        <w:tc>
          <w:tcPr>
            <w:tcW w:w="1984" w:type="dxa"/>
            <w:tcBorders>
              <w:top w:val="nil"/>
              <w:bottom w:val="nil"/>
            </w:tcBorders>
          </w:tcPr>
          <w:p w14:paraId="5E555834"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Monoclonal Mouse</w:t>
            </w:r>
          </w:p>
        </w:tc>
        <w:tc>
          <w:tcPr>
            <w:tcW w:w="1559" w:type="dxa"/>
            <w:tcBorders>
              <w:top w:val="nil"/>
              <w:bottom w:val="nil"/>
            </w:tcBorders>
          </w:tcPr>
          <w:p w14:paraId="0B25B370"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 xml:space="preserve">1 </w:t>
            </w:r>
            <w:proofErr w:type="spellStart"/>
            <w:r w:rsidRPr="001E7605">
              <w:rPr>
                <w:rFonts w:ascii="Garamond" w:hAnsi="Garamond"/>
                <w:sz w:val="22"/>
                <w:lang w:val="en-GB"/>
              </w:rPr>
              <w:t>μg</w:t>
            </w:r>
            <w:proofErr w:type="spellEnd"/>
            <w:r w:rsidRPr="001E7605">
              <w:rPr>
                <w:rFonts w:ascii="Garamond" w:hAnsi="Garamond"/>
                <w:sz w:val="22"/>
                <w:lang w:val="en-GB"/>
              </w:rPr>
              <w:t>/ml</w:t>
            </w:r>
          </w:p>
        </w:tc>
        <w:tc>
          <w:tcPr>
            <w:tcW w:w="1284" w:type="dxa"/>
            <w:tcBorders>
              <w:top w:val="nil"/>
              <w:bottom w:val="nil"/>
            </w:tcBorders>
          </w:tcPr>
          <w:p w14:paraId="40617C6C"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1:1000</w:t>
            </w:r>
          </w:p>
        </w:tc>
        <w:tc>
          <w:tcPr>
            <w:tcW w:w="2248" w:type="dxa"/>
            <w:tcBorders>
              <w:top w:val="nil"/>
              <w:bottom w:val="nil"/>
              <w:right w:val="single" w:sz="4" w:space="0" w:color="auto"/>
            </w:tcBorders>
          </w:tcPr>
          <w:p w14:paraId="76EEFF91"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F3165, Sigma</w:t>
            </w:r>
          </w:p>
        </w:tc>
      </w:tr>
      <w:tr w:rsidR="000B48C9" w:rsidRPr="001E7605" w14:paraId="1B18F728" w14:textId="77777777" w:rsidTr="00381E1F">
        <w:trPr>
          <w:trHeight w:val="238"/>
        </w:trPr>
        <w:tc>
          <w:tcPr>
            <w:cnfStyle w:val="001000000000" w:firstRow="0" w:lastRow="0" w:firstColumn="1" w:lastColumn="0" w:oddVBand="0" w:evenVBand="0" w:oddHBand="0" w:evenHBand="0" w:firstRowFirstColumn="0" w:firstRowLastColumn="0" w:lastRowFirstColumn="0" w:lastRowLastColumn="0"/>
            <w:tcW w:w="1555" w:type="dxa"/>
            <w:tcBorders>
              <w:top w:val="nil"/>
              <w:left w:val="single" w:sz="4" w:space="0" w:color="auto"/>
              <w:bottom w:val="nil"/>
            </w:tcBorders>
          </w:tcPr>
          <w:p w14:paraId="3157693F"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Anti-GFP</w:t>
            </w:r>
          </w:p>
        </w:tc>
        <w:tc>
          <w:tcPr>
            <w:tcW w:w="1984" w:type="dxa"/>
            <w:tcBorders>
              <w:top w:val="nil"/>
              <w:bottom w:val="nil"/>
            </w:tcBorders>
          </w:tcPr>
          <w:p w14:paraId="016D72A7"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Monoclonal Mouse</w:t>
            </w:r>
          </w:p>
        </w:tc>
        <w:tc>
          <w:tcPr>
            <w:tcW w:w="1559" w:type="dxa"/>
            <w:tcBorders>
              <w:top w:val="nil"/>
              <w:bottom w:val="nil"/>
            </w:tcBorders>
          </w:tcPr>
          <w:p w14:paraId="5ED41F32"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1:400</w:t>
            </w:r>
          </w:p>
        </w:tc>
        <w:tc>
          <w:tcPr>
            <w:tcW w:w="1284" w:type="dxa"/>
            <w:tcBorders>
              <w:top w:val="nil"/>
              <w:bottom w:val="nil"/>
            </w:tcBorders>
          </w:tcPr>
          <w:p w14:paraId="0ABDB9A7"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w:t>
            </w:r>
          </w:p>
        </w:tc>
        <w:tc>
          <w:tcPr>
            <w:tcW w:w="2248" w:type="dxa"/>
            <w:tcBorders>
              <w:top w:val="nil"/>
              <w:bottom w:val="nil"/>
              <w:right w:val="single" w:sz="4" w:space="0" w:color="auto"/>
            </w:tcBorders>
          </w:tcPr>
          <w:p w14:paraId="2B87FD9B"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118144600001, Roche</w:t>
            </w:r>
          </w:p>
        </w:tc>
      </w:tr>
      <w:tr w:rsidR="000B48C9" w:rsidRPr="001E7605" w14:paraId="75349499" w14:textId="77777777" w:rsidTr="00FF57DD">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555" w:type="dxa"/>
            <w:tcBorders>
              <w:top w:val="nil"/>
              <w:left w:val="single" w:sz="4" w:space="0" w:color="auto"/>
              <w:bottom w:val="nil"/>
            </w:tcBorders>
          </w:tcPr>
          <w:p w14:paraId="27CE76D3"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Anti-K</w:t>
            </w:r>
            <w:r w:rsidRPr="001E7605">
              <w:rPr>
                <w:rFonts w:ascii="Garamond" w:hAnsi="Garamond"/>
                <w:sz w:val="22"/>
                <w:vertAlign w:val="subscript"/>
                <w:lang w:val="en-GB"/>
              </w:rPr>
              <w:t>V</w:t>
            </w:r>
            <w:r w:rsidRPr="001E7605">
              <w:rPr>
                <w:rFonts w:ascii="Garamond" w:hAnsi="Garamond"/>
                <w:sz w:val="22"/>
                <w:lang w:val="en-GB"/>
              </w:rPr>
              <w:t>β1.2</w:t>
            </w:r>
          </w:p>
        </w:tc>
        <w:tc>
          <w:tcPr>
            <w:tcW w:w="1984" w:type="dxa"/>
            <w:tcBorders>
              <w:top w:val="nil"/>
              <w:bottom w:val="nil"/>
            </w:tcBorders>
          </w:tcPr>
          <w:p w14:paraId="36B14675"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Monoclonal Mouse</w:t>
            </w:r>
          </w:p>
        </w:tc>
        <w:tc>
          <w:tcPr>
            <w:tcW w:w="0" w:type="dxa"/>
            <w:tcBorders>
              <w:top w:val="nil"/>
              <w:bottom w:val="nil"/>
            </w:tcBorders>
          </w:tcPr>
          <w:p w14:paraId="49E8CD1F"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1:500</w:t>
            </w:r>
          </w:p>
        </w:tc>
        <w:tc>
          <w:tcPr>
            <w:tcW w:w="0" w:type="dxa"/>
            <w:tcBorders>
              <w:top w:val="nil"/>
              <w:bottom w:val="nil"/>
            </w:tcBorders>
          </w:tcPr>
          <w:p w14:paraId="0311F735"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1E7605">
              <w:rPr>
                <w:rFonts w:ascii="Garamond" w:hAnsi="Garamond"/>
                <w:sz w:val="22"/>
                <w:lang w:val="en-GB"/>
              </w:rPr>
              <w:t>-</w:t>
            </w:r>
          </w:p>
        </w:tc>
        <w:tc>
          <w:tcPr>
            <w:tcW w:w="0" w:type="dxa"/>
            <w:tcBorders>
              <w:top w:val="nil"/>
              <w:bottom w:val="nil"/>
              <w:right w:val="single" w:sz="4" w:space="0" w:color="auto"/>
            </w:tcBorders>
          </w:tcPr>
          <w:p w14:paraId="634550AB"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themeColor="text1"/>
                <w:sz w:val="22"/>
                <w:lang w:val="en-GB"/>
              </w:rPr>
            </w:pPr>
            <w:r w:rsidRPr="001E7605">
              <w:rPr>
                <w:rFonts w:ascii="Garamond" w:hAnsi="Garamond"/>
                <w:color w:val="000000" w:themeColor="text1"/>
                <w:sz w:val="22"/>
                <w:lang w:val="en-GB"/>
              </w:rPr>
              <w:t xml:space="preserve">K47/42, </w:t>
            </w:r>
            <w:proofErr w:type="spellStart"/>
            <w:r w:rsidRPr="001E7605">
              <w:rPr>
                <w:rFonts w:ascii="Garamond" w:hAnsi="Garamond"/>
                <w:color w:val="000000" w:themeColor="text1"/>
                <w:sz w:val="22"/>
                <w:lang w:val="en-GB"/>
              </w:rPr>
              <w:t>Neuromab</w:t>
            </w:r>
            <w:proofErr w:type="spellEnd"/>
          </w:p>
        </w:tc>
      </w:tr>
      <w:tr w:rsidR="000B48C9" w:rsidRPr="001E7605" w14:paraId="24F21ACB" w14:textId="77777777" w:rsidTr="00FF57DD">
        <w:trPr>
          <w:trHeight w:val="238"/>
        </w:trPr>
        <w:tc>
          <w:tcPr>
            <w:cnfStyle w:val="001000000000" w:firstRow="0" w:lastRow="0" w:firstColumn="1" w:lastColumn="0" w:oddVBand="0" w:evenVBand="0" w:oddHBand="0" w:evenHBand="0" w:firstRowFirstColumn="0" w:firstRowLastColumn="0" w:lastRowFirstColumn="0" w:lastRowLastColumn="0"/>
            <w:tcW w:w="1555" w:type="dxa"/>
            <w:tcBorders>
              <w:top w:val="nil"/>
              <w:left w:val="single" w:sz="4" w:space="0" w:color="auto"/>
              <w:bottom w:val="nil"/>
            </w:tcBorders>
            <w:vAlign w:val="center"/>
          </w:tcPr>
          <w:p w14:paraId="7D35B8AD" w14:textId="77777777" w:rsidR="000B48C9" w:rsidRPr="001E7605" w:rsidRDefault="000B48C9" w:rsidP="0082688A">
            <w:pPr>
              <w:spacing w:line="276" w:lineRule="auto"/>
              <w:jc w:val="center"/>
              <w:rPr>
                <w:rFonts w:ascii="Garamond" w:hAnsi="Garamond"/>
                <w:sz w:val="22"/>
                <w:lang w:val="en-GB"/>
              </w:rPr>
            </w:pPr>
            <w:r w:rsidRPr="001E7605">
              <w:rPr>
                <w:rFonts w:ascii="Garamond" w:hAnsi="Garamond"/>
                <w:sz w:val="22"/>
                <w:lang w:val="en-GB"/>
              </w:rPr>
              <w:t>Anti-Vinculin</w:t>
            </w:r>
          </w:p>
        </w:tc>
        <w:tc>
          <w:tcPr>
            <w:tcW w:w="1984" w:type="dxa"/>
            <w:tcBorders>
              <w:top w:val="nil"/>
              <w:bottom w:val="nil"/>
            </w:tcBorders>
            <w:vAlign w:val="center"/>
          </w:tcPr>
          <w:p w14:paraId="10FAB1DF"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Monoclonal Mouse</w:t>
            </w:r>
          </w:p>
        </w:tc>
        <w:tc>
          <w:tcPr>
            <w:tcW w:w="0" w:type="dxa"/>
            <w:tcBorders>
              <w:top w:val="nil"/>
              <w:bottom w:val="nil"/>
            </w:tcBorders>
            <w:vAlign w:val="center"/>
          </w:tcPr>
          <w:p w14:paraId="7C867693"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1:80000</w:t>
            </w:r>
          </w:p>
        </w:tc>
        <w:tc>
          <w:tcPr>
            <w:tcW w:w="0" w:type="dxa"/>
            <w:tcBorders>
              <w:top w:val="nil"/>
              <w:bottom w:val="nil"/>
            </w:tcBorders>
            <w:vAlign w:val="center"/>
          </w:tcPr>
          <w:p w14:paraId="4D7FD8F1" w14:textId="77777777"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1E7605">
              <w:rPr>
                <w:rFonts w:ascii="Garamond" w:hAnsi="Garamond"/>
                <w:sz w:val="22"/>
                <w:lang w:val="en-GB"/>
              </w:rPr>
              <w:t>-</w:t>
            </w:r>
          </w:p>
        </w:tc>
        <w:tc>
          <w:tcPr>
            <w:tcW w:w="0" w:type="dxa"/>
            <w:tcBorders>
              <w:top w:val="nil"/>
              <w:bottom w:val="nil"/>
              <w:right w:val="single" w:sz="4" w:space="0" w:color="auto"/>
            </w:tcBorders>
            <w:vAlign w:val="center"/>
          </w:tcPr>
          <w:p w14:paraId="3CB272FD" w14:textId="45D266F0" w:rsidR="000B48C9" w:rsidRPr="001E7605" w:rsidRDefault="000B48C9" w:rsidP="0082688A">
            <w:pPr>
              <w:spacing w:line="276" w:lineRule="auto"/>
              <w:jc w:val="center"/>
              <w:cnfStyle w:val="000000000000" w:firstRow="0" w:lastRow="0" w:firstColumn="0" w:lastColumn="0" w:oddVBand="0" w:evenVBand="0" w:oddHBand="0" w:evenHBand="0" w:firstRowFirstColumn="0" w:firstRowLastColumn="0" w:lastRowFirstColumn="0" w:lastRowLastColumn="0"/>
            </w:pPr>
            <w:bookmarkStart w:id="28" w:name="_Toc145582733"/>
            <w:bookmarkStart w:id="29" w:name="_Toc145585984"/>
            <w:bookmarkStart w:id="30" w:name="_Toc145587549"/>
            <w:bookmarkStart w:id="31" w:name="_Toc145587779"/>
            <w:bookmarkStart w:id="32" w:name="_Toc145587878"/>
            <w:bookmarkStart w:id="33" w:name="_Toc145597526"/>
            <w:bookmarkStart w:id="34" w:name="_Toc145597633"/>
            <w:bookmarkStart w:id="35" w:name="_Toc145605326"/>
            <w:r w:rsidRPr="001E7605">
              <w:rPr>
                <w:rFonts w:ascii="Garamond" w:hAnsi="Garamond"/>
                <w:color w:val="000000" w:themeColor="text1"/>
                <w:sz w:val="22"/>
                <w:lang w:val="en-GB"/>
              </w:rPr>
              <w:t>Sc73614, Santa Cruz Biotech</w:t>
            </w:r>
            <w:bookmarkEnd w:id="28"/>
            <w:bookmarkEnd w:id="29"/>
            <w:bookmarkEnd w:id="30"/>
            <w:bookmarkEnd w:id="31"/>
            <w:bookmarkEnd w:id="32"/>
            <w:bookmarkEnd w:id="33"/>
            <w:bookmarkEnd w:id="34"/>
            <w:bookmarkEnd w:id="35"/>
          </w:p>
        </w:tc>
      </w:tr>
      <w:tr w:rsidR="00E2752C" w:rsidRPr="001E7605" w14:paraId="309B8767" w14:textId="77777777" w:rsidTr="00FF57DD">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555" w:type="dxa"/>
            <w:tcBorders>
              <w:top w:val="nil"/>
              <w:left w:val="single" w:sz="4" w:space="0" w:color="auto"/>
              <w:bottom w:val="nil"/>
            </w:tcBorders>
            <w:vAlign w:val="center"/>
          </w:tcPr>
          <w:p w14:paraId="1568552E" w14:textId="31F47381" w:rsidR="00E2752C" w:rsidRPr="00A945AB" w:rsidRDefault="00E2752C" w:rsidP="0082688A">
            <w:pPr>
              <w:spacing w:line="276" w:lineRule="auto"/>
              <w:jc w:val="center"/>
              <w:rPr>
                <w:rFonts w:ascii="Garamond" w:hAnsi="Garamond"/>
                <w:sz w:val="22"/>
                <w:lang w:val="en-GB"/>
              </w:rPr>
            </w:pPr>
            <w:r w:rsidRPr="00A945AB">
              <w:rPr>
                <w:rFonts w:ascii="Garamond" w:hAnsi="Garamond"/>
                <w:sz w:val="22"/>
                <w:lang w:val="en-GB"/>
              </w:rPr>
              <w:t>Anti-Rab8A</w:t>
            </w:r>
          </w:p>
        </w:tc>
        <w:tc>
          <w:tcPr>
            <w:tcW w:w="1984" w:type="dxa"/>
            <w:tcBorders>
              <w:top w:val="nil"/>
              <w:bottom w:val="nil"/>
            </w:tcBorders>
            <w:vAlign w:val="center"/>
          </w:tcPr>
          <w:p w14:paraId="5E988579" w14:textId="4591B998" w:rsidR="00E2752C" w:rsidRPr="00A945AB" w:rsidRDefault="00E2752C"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A945AB">
              <w:rPr>
                <w:rFonts w:ascii="Garamond" w:hAnsi="Garamond"/>
                <w:sz w:val="22"/>
                <w:lang w:val="en-GB"/>
              </w:rPr>
              <w:t>Polyclonal Rabbit</w:t>
            </w:r>
          </w:p>
        </w:tc>
        <w:tc>
          <w:tcPr>
            <w:tcW w:w="0" w:type="dxa"/>
            <w:tcBorders>
              <w:top w:val="nil"/>
              <w:bottom w:val="nil"/>
            </w:tcBorders>
            <w:vAlign w:val="center"/>
          </w:tcPr>
          <w:p w14:paraId="1C4562E7" w14:textId="3403FF32" w:rsidR="00E2752C" w:rsidRPr="00A945AB" w:rsidRDefault="00E2752C"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A945AB">
              <w:rPr>
                <w:rFonts w:ascii="Garamond" w:hAnsi="Garamond"/>
                <w:sz w:val="22"/>
                <w:lang w:val="en-GB"/>
              </w:rPr>
              <w:t>-</w:t>
            </w:r>
          </w:p>
        </w:tc>
        <w:tc>
          <w:tcPr>
            <w:tcW w:w="0" w:type="dxa"/>
            <w:tcBorders>
              <w:top w:val="nil"/>
              <w:bottom w:val="nil"/>
            </w:tcBorders>
            <w:vAlign w:val="center"/>
          </w:tcPr>
          <w:p w14:paraId="2CEFF9A2" w14:textId="0633B467" w:rsidR="00E2752C" w:rsidRPr="00A945AB" w:rsidRDefault="00E2752C"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A945AB">
              <w:rPr>
                <w:rFonts w:ascii="Garamond" w:hAnsi="Garamond"/>
                <w:sz w:val="22"/>
                <w:lang w:val="en-GB"/>
              </w:rPr>
              <w:t>1:200</w:t>
            </w:r>
          </w:p>
        </w:tc>
        <w:tc>
          <w:tcPr>
            <w:tcW w:w="0" w:type="dxa"/>
            <w:tcBorders>
              <w:top w:val="nil"/>
              <w:bottom w:val="nil"/>
              <w:right w:val="single" w:sz="4" w:space="0" w:color="auto"/>
            </w:tcBorders>
            <w:vAlign w:val="center"/>
          </w:tcPr>
          <w:p w14:paraId="0D487ACB" w14:textId="5B7BF33F" w:rsidR="00E2752C" w:rsidRPr="00A945AB" w:rsidRDefault="00E2752C"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themeColor="text1"/>
                <w:sz w:val="22"/>
                <w:lang w:val="en-GB"/>
              </w:rPr>
            </w:pPr>
            <w:r w:rsidRPr="00A945AB">
              <w:rPr>
                <w:rFonts w:ascii="Garamond" w:hAnsi="Garamond"/>
                <w:color w:val="000000" w:themeColor="text1"/>
                <w:sz w:val="22"/>
              </w:rPr>
              <w:t xml:space="preserve">55296-1-AP, </w:t>
            </w:r>
            <w:proofErr w:type="spellStart"/>
            <w:r w:rsidRPr="00A945AB">
              <w:rPr>
                <w:rFonts w:ascii="Garamond" w:hAnsi="Garamond"/>
                <w:color w:val="000000" w:themeColor="text1"/>
                <w:sz w:val="22"/>
              </w:rPr>
              <w:t>Proteintech</w:t>
            </w:r>
            <w:proofErr w:type="spellEnd"/>
          </w:p>
        </w:tc>
      </w:tr>
      <w:tr w:rsidR="00E2752C" w:rsidRPr="001E7605" w14:paraId="6B257C31" w14:textId="77777777" w:rsidTr="00FF57DD">
        <w:trPr>
          <w:trHeight w:val="238"/>
        </w:trPr>
        <w:tc>
          <w:tcPr>
            <w:cnfStyle w:val="001000000000" w:firstRow="0" w:lastRow="0" w:firstColumn="1" w:lastColumn="0" w:oddVBand="0" w:evenVBand="0" w:oddHBand="0" w:evenHBand="0" w:firstRowFirstColumn="0" w:firstRowLastColumn="0" w:lastRowFirstColumn="0" w:lastRowLastColumn="0"/>
            <w:tcW w:w="0" w:type="dxa"/>
            <w:tcBorders>
              <w:top w:val="nil"/>
              <w:left w:val="single" w:sz="4" w:space="0" w:color="auto"/>
              <w:bottom w:val="nil"/>
            </w:tcBorders>
            <w:vAlign w:val="center"/>
          </w:tcPr>
          <w:p w14:paraId="1C6296A2" w14:textId="67589EE0" w:rsidR="00E2752C" w:rsidRPr="00A945AB" w:rsidRDefault="00E2752C" w:rsidP="0082688A">
            <w:pPr>
              <w:spacing w:line="276" w:lineRule="auto"/>
              <w:jc w:val="center"/>
              <w:rPr>
                <w:rFonts w:ascii="Garamond" w:hAnsi="Garamond"/>
                <w:sz w:val="22"/>
                <w:lang w:val="en-GB"/>
              </w:rPr>
            </w:pPr>
            <w:r w:rsidRPr="00A945AB">
              <w:rPr>
                <w:rFonts w:ascii="Garamond" w:hAnsi="Garamond"/>
                <w:sz w:val="22"/>
                <w:lang w:val="en-GB"/>
              </w:rPr>
              <w:t>Anti-Rab5</w:t>
            </w:r>
          </w:p>
        </w:tc>
        <w:tc>
          <w:tcPr>
            <w:tcW w:w="0" w:type="dxa"/>
            <w:tcBorders>
              <w:top w:val="nil"/>
              <w:bottom w:val="nil"/>
            </w:tcBorders>
            <w:vAlign w:val="center"/>
          </w:tcPr>
          <w:p w14:paraId="0D3977BB" w14:textId="413947F0" w:rsidR="00E2752C" w:rsidRPr="00A945AB" w:rsidRDefault="00E2752C"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A945AB">
              <w:rPr>
                <w:rFonts w:ascii="Garamond" w:hAnsi="Garamond"/>
                <w:sz w:val="22"/>
                <w:lang w:val="en-GB"/>
              </w:rPr>
              <w:t>Monoclonal Mouse</w:t>
            </w:r>
          </w:p>
        </w:tc>
        <w:tc>
          <w:tcPr>
            <w:tcW w:w="0" w:type="dxa"/>
            <w:tcBorders>
              <w:top w:val="nil"/>
              <w:bottom w:val="nil"/>
            </w:tcBorders>
            <w:vAlign w:val="center"/>
          </w:tcPr>
          <w:p w14:paraId="70B30138" w14:textId="59F7ED63" w:rsidR="00E2752C" w:rsidRPr="00A945AB" w:rsidRDefault="00E2752C"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A945AB">
              <w:rPr>
                <w:rFonts w:ascii="Garamond" w:hAnsi="Garamond"/>
                <w:sz w:val="22"/>
                <w:lang w:val="en-GB"/>
              </w:rPr>
              <w:t>-</w:t>
            </w:r>
          </w:p>
        </w:tc>
        <w:tc>
          <w:tcPr>
            <w:tcW w:w="0" w:type="dxa"/>
            <w:tcBorders>
              <w:top w:val="nil"/>
              <w:bottom w:val="nil"/>
            </w:tcBorders>
            <w:vAlign w:val="center"/>
          </w:tcPr>
          <w:p w14:paraId="1E42BBB4" w14:textId="20320F19" w:rsidR="00E2752C" w:rsidRPr="00A945AB" w:rsidRDefault="00E2752C"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lang w:val="en-GB"/>
              </w:rPr>
            </w:pPr>
            <w:r w:rsidRPr="00A945AB">
              <w:rPr>
                <w:rFonts w:ascii="Garamond" w:hAnsi="Garamond"/>
                <w:sz w:val="22"/>
                <w:lang w:val="en-GB"/>
              </w:rPr>
              <w:t>1:100</w:t>
            </w:r>
          </w:p>
        </w:tc>
        <w:tc>
          <w:tcPr>
            <w:tcW w:w="0" w:type="dxa"/>
            <w:tcBorders>
              <w:top w:val="nil"/>
              <w:bottom w:val="nil"/>
              <w:right w:val="single" w:sz="4" w:space="0" w:color="auto"/>
            </w:tcBorders>
            <w:vAlign w:val="center"/>
          </w:tcPr>
          <w:p w14:paraId="0127B3B3" w14:textId="5865FA34" w:rsidR="00E2752C" w:rsidRPr="00A945AB" w:rsidRDefault="00E2752C"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22"/>
                <w:lang w:val="en-GB"/>
              </w:rPr>
            </w:pPr>
            <w:r w:rsidRPr="00A945AB">
              <w:rPr>
                <w:rFonts w:ascii="Garamond" w:hAnsi="Garamond"/>
                <w:color w:val="000000" w:themeColor="text1"/>
                <w:sz w:val="22"/>
              </w:rPr>
              <w:t xml:space="preserve">Sc-46692, Santa Cruz </w:t>
            </w:r>
            <w:proofErr w:type="spellStart"/>
            <w:r w:rsidRPr="00A945AB">
              <w:rPr>
                <w:rFonts w:ascii="Garamond" w:hAnsi="Garamond"/>
                <w:color w:val="000000" w:themeColor="text1"/>
                <w:sz w:val="22"/>
              </w:rPr>
              <w:t>Biotech</w:t>
            </w:r>
            <w:proofErr w:type="spellEnd"/>
          </w:p>
        </w:tc>
      </w:tr>
      <w:tr w:rsidR="00E2752C" w:rsidRPr="001E7605" w14:paraId="1AB4FCF8" w14:textId="77777777" w:rsidTr="00E2752C">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555" w:type="dxa"/>
            <w:tcBorders>
              <w:top w:val="nil"/>
              <w:left w:val="single" w:sz="4" w:space="0" w:color="auto"/>
              <w:bottom w:val="single" w:sz="4" w:space="0" w:color="auto"/>
            </w:tcBorders>
            <w:vAlign w:val="center"/>
          </w:tcPr>
          <w:p w14:paraId="52B0D7DB" w14:textId="2424C085" w:rsidR="00E2752C" w:rsidRPr="00A945AB" w:rsidRDefault="00E2752C" w:rsidP="00E2752C">
            <w:pPr>
              <w:spacing w:line="276" w:lineRule="auto"/>
              <w:jc w:val="center"/>
              <w:rPr>
                <w:rFonts w:ascii="Garamond" w:hAnsi="Garamond"/>
                <w:sz w:val="22"/>
                <w:lang w:val="en-GB"/>
              </w:rPr>
            </w:pPr>
            <w:r w:rsidRPr="00A945AB">
              <w:rPr>
                <w:rFonts w:ascii="Garamond" w:hAnsi="Garamond"/>
                <w:sz w:val="22"/>
                <w:lang w:val="en-GB"/>
              </w:rPr>
              <w:t>Anti-Rab11A</w:t>
            </w:r>
          </w:p>
        </w:tc>
        <w:tc>
          <w:tcPr>
            <w:tcW w:w="1984" w:type="dxa"/>
            <w:tcBorders>
              <w:top w:val="nil"/>
              <w:bottom w:val="single" w:sz="4" w:space="0" w:color="auto"/>
            </w:tcBorders>
            <w:vAlign w:val="center"/>
          </w:tcPr>
          <w:p w14:paraId="6555CCB1" w14:textId="31B83FE6" w:rsidR="00E2752C" w:rsidRPr="00A945AB" w:rsidRDefault="00E2752C" w:rsidP="00E2752C">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A945AB">
              <w:rPr>
                <w:rFonts w:ascii="Garamond" w:hAnsi="Garamond"/>
                <w:sz w:val="22"/>
                <w:lang w:val="en-GB"/>
              </w:rPr>
              <w:t>Monoclonal Mouse</w:t>
            </w:r>
          </w:p>
        </w:tc>
        <w:tc>
          <w:tcPr>
            <w:tcW w:w="1559" w:type="dxa"/>
            <w:tcBorders>
              <w:top w:val="nil"/>
              <w:bottom w:val="single" w:sz="4" w:space="0" w:color="auto"/>
            </w:tcBorders>
            <w:vAlign w:val="center"/>
          </w:tcPr>
          <w:p w14:paraId="279A7DDD" w14:textId="04781899" w:rsidR="00E2752C" w:rsidRPr="00A945AB" w:rsidRDefault="00E2752C" w:rsidP="00E2752C">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A945AB">
              <w:rPr>
                <w:rFonts w:ascii="Garamond" w:hAnsi="Garamond"/>
                <w:sz w:val="22"/>
                <w:lang w:val="en-GB"/>
              </w:rPr>
              <w:t>-</w:t>
            </w:r>
          </w:p>
        </w:tc>
        <w:tc>
          <w:tcPr>
            <w:tcW w:w="1284" w:type="dxa"/>
            <w:tcBorders>
              <w:top w:val="nil"/>
              <w:bottom w:val="single" w:sz="4" w:space="0" w:color="auto"/>
            </w:tcBorders>
            <w:vAlign w:val="center"/>
          </w:tcPr>
          <w:p w14:paraId="6CDB5FC6" w14:textId="0E546859" w:rsidR="00E2752C" w:rsidRPr="00A945AB" w:rsidRDefault="00E2752C" w:rsidP="00E2752C">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2"/>
                <w:lang w:val="en-GB"/>
              </w:rPr>
            </w:pPr>
            <w:r w:rsidRPr="00A945AB">
              <w:rPr>
                <w:rFonts w:ascii="Garamond" w:hAnsi="Garamond"/>
                <w:sz w:val="22"/>
                <w:lang w:val="en-GB"/>
              </w:rPr>
              <w:t>1:100</w:t>
            </w:r>
          </w:p>
        </w:tc>
        <w:tc>
          <w:tcPr>
            <w:tcW w:w="2248" w:type="dxa"/>
            <w:tcBorders>
              <w:top w:val="nil"/>
              <w:bottom w:val="single" w:sz="4" w:space="0" w:color="auto"/>
              <w:right w:val="single" w:sz="4" w:space="0" w:color="auto"/>
            </w:tcBorders>
            <w:vAlign w:val="center"/>
          </w:tcPr>
          <w:p w14:paraId="36F61CA0" w14:textId="68F3F0B2" w:rsidR="00E2752C" w:rsidRPr="00A945AB" w:rsidRDefault="00E2752C" w:rsidP="00E2752C">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themeColor="text1"/>
                <w:sz w:val="22"/>
                <w:lang w:val="en-GB"/>
              </w:rPr>
            </w:pPr>
            <w:r w:rsidRPr="00A945AB">
              <w:rPr>
                <w:rFonts w:ascii="Garamond" w:hAnsi="Garamond"/>
                <w:color w:val="000000" w:themeColor="text1"/>
                <w:sz w:val="22"/>
              </w:rPr>
              <w:t xml:space="preserve">Sc-166912, Santa Cruz </w:t>
            </w:r>
            <w:proofErr w:type="spellStart"/>
            <w:r w:rsidRPr="00A945AB">
              <w:rPr>
                <w:rFonts w:ascii="Garamond" w:hAnsi="Garamond"/>
                <w:color w:val="000000" w:themeColor="text1"/>
                <w:sz w:val="22"/>
              </w:rPr>
              <w:t>Biotech</w:t>
            </w:r>
            <w:proofErr w:type="spellEnd"/>
          </w:p>
        </w:tc>
      </w:tr>
    </w:tbl>
    <w:p w14:paraId="76FAB123" w14:textId="77777777" w:rsidR="000B48C9" w:rsidRPr="001E7605" w:rsidRDefault="000B48C9">
      <w:pPr>
        <w:pStyle w:val="TextoTesis"/>
      </w:pPr>
    </w:p>
    <w:p w14:paraId="0A6A924A" w14:textId="6FBFB8DF" w:rsidR="000B48C9" w:rsidRPr="001E7605" w:rsidRDefault="000B48C9" w:rsidP="00FF720A">
      <w:pPr>
        <w:pStyle w:val="Ttulo3Tesis"/>
      </w:pPr>
      <w:bookmarkStart w:id="36" w:name="_Toc145663654"/>
      <w:r w:rsidRPr="001E7605">
        <w:t xml:space="preserve">Membrane protein expression with Flow </w:t>
      </w:r>
      <w:bookmarkEnd w:id="36"/>
      <w:r w:rsidR="004B2876" w:rsidRPr="001E7605">
        <w:t>Cytometry</w:t>
      </w:r>
    </w:p>
    <w:p w14:paraId="357ADD0D" w14:textId="292426AB" w:rsidR="000B48C9" w:rsidRPr="001E7605" w:rsidRDefault="000B48C9">
      <w:pPr>
        <w:pStyle w:val="TextoTesis"/>
      </w:pPr>
      <w:bookmarkStart w:id="37" w:name="_Hlk111625095"/>
      <w:r w:rsidRPr="001E7605">
        <w:t xml:space="preserve">HEK293 cells were plated in 6-well </w:t>
      </w:r>
      <w:proofErr w:type="spellStart"/>
      <w:r w:rsidRPr="001E7605">
        <w:t>multiwell</w:t>
      </w:r>
      <w:proofErr w:type="spellEnd"/>
      <w:r w:rsidRPr="001E7605">
        <w:t xml:space="preserve"> cell plates were transfected at 80% confluence with K</w:t>
      </w:r>
      <w:r w:rsidRPr="001E7605">
        <w:rPr>
          <w:vertAlign w:val="subscript"/>
        </w:rPr>
        <w:t>V</w:t>
      </w:r>
      <w:r w:rsidRPr="001E7605">
        <w:t xml:space="preserve">1.5-HA (0.2 </w:t>
      </w:r>
      <w:proofErr w:type="spellStart"/>
      <w:r w:rsidRPr="001E7605">
        <w:t>μg</w:t>
      </w:r>
      <w:proofErr w:type="spellEnd"/>
      <w:r w:rsidRPr="001E7605">
        <w:t xml:space="preserve">) + </w:t>
      </w:r>
      <w:proofErr w:type="spellStart"/>
      <w:r w:rsidRPr="001E7605">
        <w:t>IRESmCherry</w:t>
      </w:r>
      <w:proofErr w:type="spellEnd"/>
      <w:r w:rsidRPr="001E7605">
        <w:t xml:space="preserve">/Lgi3-IRESmCherry or Lgi4-IRESmCherry (2 </w:t>
      </w:r>
      <w:proofErr w:type="spellStart"/>
      <w:r w:rsidRPr="001E7605">
        <w:t>μg</w:t>
      </w:r>
      <w:proofErr w:type="spellEnd"/>
      <w:r w:rsidRPr="001E7605">
        <w:t>) + K</w:t>
      </w:r>
      <w:r w:rsidRPr="001E7605">
        <w:rPr>
          <w:vertAlign w:val="subscript"/>
        </w:rPr>
        <w:t>V</w:t>
      </w:r>
      <w:r w:rsidRPr="001E7605">
        <w:sym w:font="Symbol" w:char="F062"/>
      </w:r>
      <w:r w:rsidRPr="001E7605">
        <w:t>1.3/ K</w:t>
      </w:r>
      <w:r w:rsidRPr="001E7605">
        <w:rPr>
          <w:vertAlign w:val="subscript"/>
        </w:rPr>
        <w:t>V</w:t>
      </w:r>
      <w:r w:rsidRPr="001E7605">
        <w:sym w:font="Symbol" w:char="F062"/>
      </w:r>
      <w:r w:rsidRPr="001E7605">
        <w:t>1.2/K</w:t>
      </w:r>
      <w:r w:rsidRPr="001E7605">
        <w:rPr>
          <w:vertAlign w:val="subscript"/>
        </w:rPr>
        <w:t>V</w:t>
      </w:r>
      <w:r w:rsidRPr="001E7605">
        <w:sym w:font="Symbol" w:char="F062"/>
      </w:r>
      <w:r w:rsidRPr="001E7605">
        <w:t xml:space="preserve">2.1 or empty </w:t>
      </w:r>
      <w:proofErr w:type="spellStart"/>
      <w:r w:rsidRPr="001E7605">
        <w:t>pBK</w:t>
      </w:r>
      <w:proofErr w:type="spellEnd"/>
      <w:r w:rsidRPr="001E7605">
        <w:t xml:space="preserve"> (2 </w:t>
      </w:r>
      <w:proofErr w:type="spellStart"/>
      <w:r w:rsidRPr="001E7605">
        <w:t>μg</w:t>
      </w:r>
      <w:proofErr w:type="spellEnd"/>
      <w:r w:rsidRPr="001E7605">
        <w:t>) using Lipofectamine 2000 following manufacturer</w:t>
      </w:r>
      <w:r w:rsidR="00654C30" w:rsidRPr="001E7605">
        <w:t>’s</w:t>
      </w:r>
      <w:r w:rsidRPr="001E7605">
        <w:t xml:space="preserve"> instructions. </w:t>
      </w:r>
    </w:p>
    <w:bookmarkEnd w:id="37"/>
    <w:p w14:paraId="457F1018" w14:textId="31CAD55F" w:rsidR="000B48C9" w:rsidRPr="001E7605" w:rsidRDefault="000B48C9">
      <w:pPr>
        <w:pStyle w:val="TextoTesis"/>
      </w:pPr>
      <w:r w:rsidRPr="001E7605">
        <w:t>48h post-transfection, cells were washed with PBS without K</w:t>
      </w:r>
      <w:r w:rsidRPr="001E7605">
        <w:rPr>
          <w:vertAlign w:val="superscript"/>
        </w:rPr>
        <w:t>+</w:t>
      </w:r>
      <w:r w:rsidRPr="001E7605">
        <w:t xml:space="preserve"> and briefly </w:t>
      </w:r>
      <w:r w:rsidR="00654C30" w:rsidRPr="001E7605">
        <w:t xml:space="preserve">detached from the bottom </w:t>
      </w:r>
      <w:r w:rsidRPr="001E7605">
        <w:t>(</w:t>
      </w:r>
      <w:proofErr w:type="spellStart"/>
      <w:r w:rsidRPr="001E7605">
        <w:t>TrypLE</w:t>
      </w:r>
      <w:r w:rsidRPr="001E7605">
        <w:rPr>
          <w:vertAlign w:val="superscript"/>
        </w:rPr>
        <w:t>TM</w:t>
      </w:r>
      <w:proofErr w:type="spellEnd"/>
      <w:r w:rsidRPr="001E7605">
        <w:t xml:space="preserve"> Express). To stop the enzyme digestion, cold supplemented DMEM was added and placed on ice to prevent the internalization of surface agents. Tubes were centrifuged at 400 × g for 5 min at 4 ºC, the supernatant was discarded and the cells were resuspended in PBS without K</w:t>
      </w:r>
      <w:r w:rsidRPr="001E7605">
        <w:rPr>
          <w:vertAlign w:val="superscript"/>
        </w:rPr>
        <w:t xml:space="preserve">+ </w:t>
      </w:r>
      <w:r w:rsidRPr="001E7605">
        <w:t>by vortex. This wash step was repeated twice and1 × 10</w:t>
      </w:r>
      <w:r w:rsidRPr="001E7605">
        <w:rPr>
          <w:vertAlign w:val="superscript"/>
        </w:rPr>
        <w:t>6</w:t>
      </w:r>
      <w:r w:rsidRPr="001E7605">
        <w:t xml:space="preserve"> cells were </w:t>
      </w:r>
      <w:r w:rsidR="005F3DDA" w:rsidRPr="001E7605">
        <w:t>used</w:t>
      </w:r>
      <w:r w:rsidRPr="001E7605">
        <w:t xml:space="preserve"> to the cell surface staining. Anti-HA (1:500, Santa Cruz Biotechnology) was added and cells were vortexed and incubated for 45 min at 4 ºC in orbital agitation. PBS without K</w:t>
      </w:r>
      <w:r w:rsidRPr="001E7605">
        <w:rPr>
          <w:vertAlign w:val="superscript"/>
        </w:rPr>
        <w:t>+</w:t>
      </w:r>
      <w:r w:rsidRPr="001E7605">
        <w:t xml:space="preserve"> were added before centrifuging at 400 × g for 5 min at 4 °C, the supernatant was discarded and the cells were </w:t>
      </w:r>
      <w:r w:rsidR="005F3DDA" w:rsidRPr="001E7605">
        <w:t xml:space="preserve">twice </w:t>
      </w:r>
      <w:r w:rsidRPr="001E7605">
        <w:t>resuspended in PBS without K</w:t>
      </w:r>
      <w:r w:rsidRPr="001E7605">
        <w:rPr>
          <w:vertAlign w:val="superscript"/>
        </w:rPr>
        <w:t>+</w:t>
      </w:r>
      <w:r w:rsidRPr="001E7605">
        <w:t>. to remove any unbound antibody and, after the last centrifugation, cells were resuspended in PBS without K</w:t>
      </w:r>
      <w:r w:rsidRPr="001E7605">
        <w:rPr>
          <w:vertAlign w:val="superscript"/>
        </w:rPr>
        <w:t>+</w:t>
      </w:r>
      <w:r w:rsidRPr="001E7605">
        <w:t>. Then, the secondary antibody, goat anti-mouse AF488 (1:500) was added, cells were vortexed and incubated for 45 min at 4 ºC in orbital agitation. PBS without K</w:t>
      </w:r>
      <w:r w:rsidRPr="001E7605">
        <w:rPr>
          <w:vertAlign w:val="superscript"/>
        </w:rPr>
        <w:t>+</w:t>
      </w:r>
      <w:r w:rsidRPr="001E7605">
        <w:t xml:space="preserve"> were added before centrifuging at 400 × g for 5 min at 4 °C, the supernatant was discarded and the cells were</w:t>
      </w:r>
      <w:r w:rsidR="005F3DDA" w:rsidRPr="001E7605">
        <w:t xml:space="preserve"> twice</w:t>
      </w:r>
      <w:r w:rsidRPr="001E7605">
        <w:t xml:space="preserve"> resuspended in PBS without K</w:t>
      </w:r>
      <w:r w:rsidRPr="001E7605">
        <w:rPr>
          <w:vertAlign w:val="superscript"/>
        </w:rPr>
        <w:t>+</w:t>
      </w:r>
      <w:r w:rsidRPr="001E7605">
        <w:t xml:space="preserve">. </w:t>
      </w:r>
      <w:r w:rsidR="005F3DDA" w:rsidRPr="001E7605">
        <w:t>F</w:t>
      </w:r>
      <w:r w:rsidRPr="001E7605">
        <w:t>inally, cells were resuspended in PBS without K</w:t>
      </w:r>
      <w:r w:rsidRPr="001E7605">
        <w:rPr>
          <w:vertAlign w:val="superscript"/>
        </w:rPr>
        <w:t>+</w:t>
      </w:r>
      <w:r w:rsidRPr="001E7605">
        <w:t xml:space="preserve"> and transferred to flow cytometry tubes and kept in the dark at 4 ºC until running the sample.</w:t>
      </w:r>
    </w:p>
    <w:p w14:paraId="3699306D" w14:textId="086CBE90" w:rsidR="000B48C9" w:rsidRPr="001E7605" w:rsidRDefault="000B48C9">
      <w:pPr>
        <w:pStyle w:val="TextoTesis"/>
      </w:pPr>
      <w:r w:rsidRPr="001E7605">
        <w:t xml:space="preserve">Cells were analysed by using FACSCANTO II. Right before running each sample, DAPI (1:20000) was added to the cell suspension in order to select only the intact cells (with no DAPI staining). Cell debris and cell aggregates were also excluded. AF488 signal was measured in </w:t>
      </w:r>
      <w:proofErr w:type="spellStart"/>
      <w:r w:rsidRPr="001E7605">
        <w:t>mCherry</w:t>
      </w:r>
      <w:proofErr w:type="spellEnd"/>
      <w:r w:rsidRPr="001E7605">
        <w:t xml:space="preserve"> positive and DAPI negative cells in at least 20000 events per sample.</w:t>
      </w:r>
    </w:p>
    <w:p w14:paraId="4ED74C37" w14:textId="77777777" w:rsidR="005F3DDA" w:rsidRPr="001E7605" w:rsidRDefault="005F3DDA">
      <w:pPr>
        <w:pStyle w:val="TextoTesis"/>
      </w:pPr>
    </w:p>
    <w:p w14:paraId="2DE398EB" w14:textId="11771ADD" w:rsidR="000B48C9" w:rsidRPr="001E7605" w:rsidRDefault="000B48C9" w:rsidP="00FF720A">
      <w:pPr>
        <w:pStyle w:val="Ttulo3Tesis"/>
      </w:pPr>
      <w:bookmarkStart w:id="38" w:name="_Toc145663655"/>
      <w:r w:rsidRPr="001E7605">
        <w:lastRenderedPageBreak/>
        <w:t>RNA determination</w:t>
      </w:r>
      <w:bookmarkEnd w:id="38"/>
    </w:p>
    <w:p w14:paraId="0F6E489D" w14:textId="1CB82D8B" w:rsidR="000B48C9" w:rsidRPr="001E7605" w:rsidRDefault="000B48C9">
      <w:pPr>
        <w:pStyle w:val="TextoTesis"/>
      </w:pPr>
      <w:r w:rsidRPr="001E7605">
        <w:t xml:space="preserve">Total RNA was extracted from human atrial tissue by using the kit </w:t>
      </w:r>
      <w:proofErr w:type="spellStart"/>
      <w:r w:rsidRPr="001E7605">
        <w:t>Maxwll</w:t>
      </w:r>
      <w:proofErr w:type="spellEnd"/>
      <w:r w:rsidRPr="001E7605">
        <w:t xml:space="preserve"> 16. Reverse transcription of RNA was performed with </w:t>
      </w:r>
      <w:proofErr w:type="spellStart"/>
      <w:r w:rsidRPr="001E7605">
        <w:t>AffinityScript</w:t>
      </w:r>
      <w:proofErr w:type="spellEnd"/>
      <w:r w:rsidRPr="001E7605">
        <w:t xml:space="preserve"> Multiple Temperature cDNA Synthesis Kit (600107, Agilent) and </w:t>
      </w:r>
      <w:proofErr w:type="spellStart"/>
      <w:r w:rsidRPr="001E7605">
        <w:t>Taqman</w:t>
      </w:r>
      <w:proofErr w:type="spellEnd"/>
      <w:r w:rsidRPr="001E7605">
        <w:t xml:space="preserve"> Real Time PCR (Applied Biosystems) was performed on a </w:t>
      </w:r>
      <w:proofErr w:type="spellStart"/>
      <w:r w:rsidRPr="001E7605">
        <w:t>StepOnePlus</w:t>
      </w:r>
      <w:proofErr w:type="spellEnd"/>
      <w:r w:rsidRPr="001E7605">
        <w:t xml:space="preserve"> Real Time qPCR system (Applied Biosystems) and data were processed with the namesake program. All procedures were conducted following manufacturer’s instructions. </w:t>
      </w:r>
    </w:p>
    <w:p w14:paraId="14E46F54" w14:textId="447801B4" w:rsidR="000B48C9" w:rsidRPr="001E7605" w:rsidRDefault="000B48C9" w:rsidP="00FD1D81">
      <w:pPr>
        <w:pStyle w:val="Heading1"/>
        <w:rPr>
          <w:rStyle w:val="SubtleEmphasis"/>
          <w:lang w:val="en-GB"/>
        </w:rPr>
      </w:pPr>
      <w:bookmarkStart w:id="39" w:name="_Toc145605327"/>
      <w:r w:rsidRPr="001E7605">
        <w:rPr>
          <w:rStyle w:val="SubtleEmphasis"/>
          <w:lang w:val="en-GB"/>
        </w:rPr>
        <w:t xml:space="preserve">Table </w:t>
      </w:r>
      <w:r w:rsidR="006067CC" w:rsidRPr="001E7605">
        <w:rPr>
          <w:rStyle w:val="SubtleEmphasis"/>
          <w:lang w:val="en-GB"/>
        </w:rPr>
        <w:t>7</w:t>
      </w:r>
      <w:r w:rsidRPr="001E7605">
        <w:rPr>
          <w:rStyle w:val="SubtleEmphasis"/>
          <w:lang w:val="en-GB"/>
        </w:rPr>
        <w:t>. List of TaqMan used to determine mRNA expression in human heart.</w:t>
      </w:r>
      <w:bookmarkEnd w:id="39"/>
    </w:p>
    <w:tbl>
      <w:tblPr>
        <w:tblStyle w:val="ListTable3-Accent1"/>
        <w:tblW w:w="8642" w:type="dxa"/>
        <w:tblLook w:val="04A0" w:firstRow="1" w:lastRow="0" w:firstColumn="1" w:lastColumn="0" w:noHBand="0" w:noVBand="1"/>
      </w:tblPr>
      <w:tblGrid>
        <w:gridCol w:w="3114"/>
        <w:gridCol w:w="2410"/>
        <w:gridCol w:w="3118"/>
      </w:tblGrid>
      <w:tr w:rsidR="000B48C9" w:rsidRPr="001E7605" w14:paraId="59BB4CBE" w14:textId="77777777" w:rsidTr="00D23E9B">
        <w:trPr>
          <w:cnfStyle w:val="100000000000" w:firstRow="1" w:lastRow="0" w:firstColumn="0" w:lastColumn="0" w:oddVBand="0" w:evenVBand="0" w:oddHBand="0" w:evenHBand="0" w:firstRowFirstColumn="0" w:firstRowLastColumn="0" w:lastRowFirstColumn="0" w:lastRowLastColumn="0"/>
          <w:trHeight w:val="238"/>
        </w:trPr>
        <w:tc>
          <w:tcPr>
            <w:cnfStyle w:val="001000000100" w:firstRow="0" w:lastRow="0" w:firstColumn="1" w:lastColumn="0" w:oddVBand="0" w:evenVBand="0" w:oddHBand="0" w:evenHBand="0" w:firstRowFirstColumn="1" w:firstRowLastColumn="0" w:lastRowFirstColumn="0" w:lastRowLastColumn="0"/>
            <w:tcW w:w="3114" w:type="dxa"/>
            <w:tcBorders>
              <w:top w:val="single" w:sz="4" w:space="0" w:color="auto"/>
              <w:left w:val="single" w:sz="4" w:space="0" w:color="auto"/>
              <w:bottom w:val="double" w:sz="4" w:space="0" w:color="auto"/>
            </w:tcBorders>
            <w:shd w:val="clear" w:color="auto" w:fill="F2F2F2" w:themeFill="background1" w:themeFillShade="F2"/>
          </w:tcPr>
          <w:p w14:paraId="1A8F9726" w14:textId="77777777" w:rsidR="000B48C9" w:rsidRPr="001E7605" w:rsidRDefault="000B48C9" w:rsidP="0082688A">
            <w:pPr>
              <w:spacing w:line="276" w:lineRule="auto"/>
              <w:jc w:val="center"/>
              <w:rPr>
                <w:rFonts w:ascii="Garamond" w:eastAsia="Calibri" w:hAnsi="Garamond" w:cs="Times New Roman"/>
                <w:color w:val="auto"/>
                <w:sz w:val="22"/>
                <w:lang w:val="en-GB"/>
              </w:rPr>
            </w:pPr>
            <w:r w:rsidRPr="001E7605">
              <w:rPr>
                <w:rFonts w:ascii="Garamond" w:eastAsia="Calibri" w:hAnsi="Garamond" w:cs="Times New Roman"/>
                <w:color w:val="auto"/>
                <w:sz w:val="22"/>
                <w:lang w:val="en-GB"/>
              </w:rPr>
              <w:t>Protein</w:t>
            </w:r>
          </w:p>
        </w:tc>
        <w:tc>
          <w:tcPr>
            <w:tcW w:w="2410" w:type="dxa"/>
            <w:tcBorders>
              <w:top w:val="single" w:sz="4" w:space="0" w:color="auto"/>
              <w:bottom w:val="double" w:sz="4" w:space="0" w:color="auto"/>
            </w:tcBorders>
            <w:shd w:val="clear" w:color="auto" w:fill="F2F2F2" w:themeFill="background1" w:themeFillShade="F2"/>
          </w:tcPr>
          <w:p w14:paraId="11A65809" w14:textId="77777777" w:rsidR="000B48C9" w:rsidRPr="001E7605" w:rsidRDefault="000B48C9" w:rsidP="0082688A">
            <w:pPr>
              <w:spacing w:line="276" w:lineRule="auto"/>
              <w:jc w:val="center"/>
              <w:cnfStyle w:val="100000000000" w:firstRow="1" w:lastRow="0" w:firstColumn="0" w:lastColumn="0" w:oddVBand="0" w:evenVBand="0" w:oddHBand="0" w:evenHBand="0" w:firstRowFirstColumn="0" w:firstRowLastColumn="0" w:lastRowFirstColumn="0" w:lastRowLastColumn="0"/>
              <w:rPr>
                <w:rFonts w:ascii="Garamond" w:eastAsia="Calibri" w:hAnsi="Garamond" w:cs="Times New Roman"/>
                <w:color w:val="auto"/>
                <w:sz w:val="22"/>
                <w:lang w:val="en-GB"/>
              </w:rPr>
            </w:pPr>
            <w:r w:rsidRPr="001E7605">
              <w:rPr>
                <w:rFonts w:ascii="Garamond" w:eastAsia="Calibri" w:hAnsi="Garamond" w:cs="Times New Roman"/>
                <w:color w:val="auto"/>
                <w:sz w:val="22"/>
                <w:lang w:val="en-GB"/>
              </w:rPr>
              <w:t>Gene</w:t>
            </w:r>
          </w:p>
        </w:tc>
        <w:tc>
          <w:tcPr>
            <w:tcW w:w="3118" w:type="dxa"/>
            <w:tcBorders>
              <w:top w:val="single" w:sz="4" w:space="0" w:color="auto"/>
              <w:bottom w:val="double" w:sz="4" w:space="0" w:color="auto"/>
              <w:right w:val="single" w:sz="4" w:space="0" w:color="auto"/>
            </w:tcBorders>
            <w:shd w:val="clear" w:color="auto" w:fill="F2F2F2" w:themeFill="background1" w:themeFillShade="F2"/>
          </w:tcPr>
          <w:p w14:paraId="358C12D5" w14:textId="77777777" w:rsidR="000B48C9" w:rsidRPr="001E7605" w:rsidRDefault="000B48C9" w:rsidP="0082688A">
            <w:pPr>
              <w:spacing w:line="276" w:lineRule="auto"/>
              <w:jc w:val="center"/>
              <w:cnfStyle w:val="100000000000" w:firstRow="1" w:lastRow="0" w:firstColumn="0" w:lastColumn="0" w:oddVBand="0" w:evenVBand="0" w:oddHBand="0" w:evenHBand="0" w:firstRowFirstColumn="0" w:firstRowLastColumn="0" w:lastRowFirstColumn="0" w:lastRowLastColumn="0"/>
              <w:rPr>
                <w:rFonts w:ascii="Garamond" w:eastAsia="Calibri" w:hAnsi="Garamond" w:cs="Times New Roman"/>
                <w:color w:val="auto"/>
                <w:sz w:val="22"/>
                <w:lang w:val="en-GB"/>
              </w:rPr>
            </w:pPr>
            <w:r w:rsidRPr="001E7605">
              <w:rPr>
                <w:rFonts w:ascii="Garamond" w:eastAsia="Calibri" w:hAnsi="Garamond" w:cs="Times New Roman"/>
                <w:color w:val="auto"/>
                <w:sz w:val="22"/>
                <w:lang w:val="en-GB"/>
              </w:rPr>
              <w:t>Reference</w:t>
            </w:r>
          </w:p>
        </w:tc>
      </w:tr>
      <w:tr w:rsidR="000B48C9" w:rsidRPr="001E7605" w14:paraId="2763CBBE" w14:textId="77777777" w:rsidTr="00D23E9B">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114" w:type="dxa"/>
            <w:tcBorders>
              <w:top w:val="double" w:sz="4" w:space="0" w:color="auto"/>
              <w:left w:val="single" w:sz="4" w:space="0" w:color="auto"/>
              <w:bottom w:val="nil"/>
            </w:tcBorders>
          </w:tcPr>
          <w:p w14:paraId="017C0D4A" w14:textId="77777777" w:rsidR="000B48C9" w:rsidRPr="001E7605" w:rsidRDefault="000B48C9" w:rsidP="0082688A">
            <w:pPr>
              <w:spacing w:line="276" w:lineRule="auto"/>
              <w:jc w:val="center"/>
              <w:rPr>
                <w:rFonts w:ascii="Garamond" w:eastAsia="Calibri" w:hAnsi="Garamond" w:cs="Times New Roman"/>
                <w:sz w:val="22"/>
                <w:lang w:val="en-GB"/>
              </w:rPr>
            </w:pPr>
            <w:r w:rsidRPr="001E7605">
              <w:rPr>
                <w:rFonts w:ascii="Garamond" w:eastAsia="Calibri" w:hAnsi="Garamond" w:cs="Times New Roman"/>
                <w:b w:val="0"/>
                <w:bCs w:val="0"/>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b w:val="0"/>
                <w:bCs w:val="0"/>
                <w:sz w:val="22"/>
                <w:lang w:val="en-GB"/>
              </w:rPr>
              <w:t>1.5</w:t>
            </w:r>
          </w:p>
        </w:tc>
        <w:tc>
          <w:tcPr>
            <w:tcW w:w="2410" w:type="dxa"/>
            <w:tcBorders>
              <w:top w:val="double" w:sz="4" w:space="0" w:color="auto"/>
              <w:bottom w:val="nil"/>
            </w:tcBorders>
          </w:tcPr>
          <w:p w14:paraId="0F167174"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i/>
                <w:iCs/>
                <w:sz w:val="22"/>
                <w:lang w:val="en-GB"/>
              </w:rPr>
            </w:pPr>
            <w:r w:rsidRPr="00A945AB">
              <w:rPr>
                <w:rFonts w:ascii="Garamond" w:eastAsia="Calibri" w:hAnsi="Garamond" w:cs="Times New Roman"/>
                <w:i/>
                <w:iCs/>
                <w:sz w:val="22"/>
                <w:lang w:val="en-GB"/>
              </w:rPr>
              <w:t>KCNA5</w:t>
            </w:r>
          </w:p>
        </w:tc>
        <w:tc>
          <w:tcPr>
            <w:tcW w:w="3118" w:type="dxa"/>
            <w:tcBorders>
              <w:top w:val="double" w:sz="4" w:space="0" w:color="auto"/>
              <w:bottom w:val="nil"/>
              <w:right w:val="single" w:sz="4" w:space="0" w:color="auto"/>
            </w:tcBorders>
          </w:tcPr>
          <w:p w14:paraId="6B0B3100" w14:textId="77777777" w:rsidR="000B48C9" w:rsidRPr="001E7605" w:rsidRDefault="000B48C9"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sz w:val="22"/>
                <w:lang w:val="en-GB"/>
              </w:rPr>
            </w:pPr>
            <w:r w:rsidRPr="001E7605">
              <w:rPr>
                <w:rFonts w:ascii="Garamond" w:eastAsia="Calibri" w:hAnsi="Garamond" w:cs="Times New Roman"/>
                <w:sz w:val="22"/>
                <w:lang w:val="en-GB"/>
              </w:rPr>
              <w:t>Hs00969279_s1</w:t>
            </w:r>
          </w:p>
        </w:tc>
      </w:tr>
      <w:tr w:rsidR="00E23281" w:rsidRPr="001E7605" w14:paraId="5144828E" w14:textId="77777777" w:rsidTr="00034BD9">
        <w:trPr>
          <w:trHeight w:val="238"/>
        </w:trPr>
        <w:tc>
          <w:tcPr>
            <w:cnfStyle w:val="001000000000" w:firstRow="0" w:lastRow="0" w:firstColumn="1" w:lastColumn="0" w:oddVBand="0" w:evenVBand="0" w:oddHBand="0" w:evenHBand="0" w:firstRowFirstColumn="0" w:firstRowLastColumn="0" w:lastRowFirstColumn="0" w:lastRowLastColumn="0"/>
            <w:tcW w:w="3114" w:type="dxa"/>
            <w:tcBorders>
              <w:top w:val="nil"/>
              <w:left w:val="single" w:sz="4" w:space="0" w:color="auto"/>
              <w:bottom w:val="nil"/>
            </w:tcBorders>
          </w:tcPr>
          <w:p w14:paraId="3A8C081F" w14:textId="3CC1C808" w:rsidR="00E23281" w:rsidRPr="001E7605" w:rsidRDefault="00E23281" w:rsidP="0082688A">
            <w:pPr>
              <w:spacing w:line="276" w:lineRule="auto"/>
              <w:jc w:val="center"/>
              <w:rPr>
                <w:rFonts w:ascii="Garamond" w:eastAsia="Calibri" w:hAnsi="Garamond" w:cs="Times New Roman"/>
                <w:sz w:val="22"/>
                <w:lang w:val="en-GB"/>
              </w:rPr>
            </w:pPr>
            <w:r w:rsidRPr="001E7605">
              <w:rPr>
                <w:rFonts w:ascii="Garamond" w:eastAsia="Calibri" w:hAnsi="Garamond" w:cs="Times New Roman"/>
                <w:b w:val="0"/>
                <w:bCs w:val="0"/>
                <w:sz w:val="22"/>
                <w:lang w:val="en-GB"/>
              </w:rPr>
              <w:t>Lgi3</w:t>
            </w:r>
          </w:p>
        </w:tc>
        <w:tc>
          <w:tcPr>
            <w:tcW w:w="2410" w:type="dxa"/>
            <w:tcBorders>
              <w:top w:val="nil"/>
              <w:bottom w:val="nil"/>
            </w:tcBorders>
          </w:tcPr>
          <w:p w14:paraId="29206DC5" w14:textId="7F0575A5" w:rsidR="00E23281" w:rsidRPr="001E7605" w:rsidRDefault="00E23281"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Times New Roman"/>
                <w:i/>
                <w:iCs/>
                <w:sz w:val="22"/>
                <w:lang w:val="en-GB"/>
              </w:rPr>
            </w:pPr>
            <w:r w:rsidRPr="005D6169">
              <w:rPr>
                <w:rFonts w:ascii="Garamond" w:eastAsia="Calibri" w:hAnsi="Garamond" w:cs="Times New Roman"/>
                <w:i/>
                <w:iCs/>
                <w:sz w:val="22"/>
                <w:lang w:val="en-GB"/>
              </w:rPr>
              <w:t>LGI3</w:t>
            </w:r>
          </w:p>
        </w:tc>
        <w:tc>
          <w:tcPr>
            <w:tcW w:w="3118" w:type="dxa"/>
            <w:tcBorders>
              <w:top w:val="nil"/>
              <w:bottom w:val="nil"/>
              <w:right w:val="single" w:sz="4" w:space="0" w:color="auto"/>
            </w:tcBorders>
          </w:tcPr>
          <w:p w14:paraId="5C1FF69B" w14:textId="1F68C80D" w:rsidR="00E23281" w:rsidRPr="001E7605" w:rsidRDefault="00E23281"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Times New Roman"/>
                <w:sz w:val="22"/>
                <w:lang w:val="en-GB"/>
              </w:rPr>
            </w:pPr>
            <w:r w:rsidRPr="001E7605">
              <w:rPr>
                <w:rFonts w:ascii="Garamond" w:eastAsia="Calibri" w:hAnsi="Garamond" w:cs="Times New Roman"/>
                <w:sz w:val="22"/>
                <w:lang w:val="en-GB"/>
              </w:rPr>
              <w:t>Hs00373763_m1</w:t>
            </w:r>
          </w:p>
        </w:tc>
      </w:tr>
      <w:tr w:rsidR="00E23281" w:rsidRPr="001E7605" w14:paraId="167B079C" w14:textId="77777777" w:rsidTr="00034B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114" w:type="dxa"/>
            <w:tcBorders>
              <w:top w:val="nil"/>
              <w:left w:val="single" w:sz="4" w:space="0" w:color="auto"/>
              <w:bottom w:val="nil"/>
            </w:tcBorders>
          </w:tcPr>
          <w:p w14:paraId="4C517127" w14:textId="5D2DBBB3" w:rsidR="00E23281" w:rsidRPr="001E7605" w:rsidRDefault="00E23281" w:rsidP="0082688A">
            <w:pPr>
              <w:spacing w:line="276" w:lineRule="auto"/>
              <w:jc w:val="center"/>
              <w:rPr>
                <w:rFonts w:ascii="Garamond" w:eastAsia="Calibri" w:hAnsi="Garamond" w:cs="Times New Roman"/>
                <w:sz w:val="22"/>
                <w:lang w:val="en-GB"/>
              </w:rPr>
            </w:pPr>
            <w:r w:rsidRPr="001E7605">
              <w:rPr>
                <w:rFonts w:ascii="Garamond" w:eastAsia="Calibri" w:hAnsi="Garamond" w:cs="Times New Roman"/>
                <w:b w:val="0"/>
                <w:bCs w:val="0"/>
                <w:sz w:val="22"/>
                <w:lang w:val="en-GB"/>
              </w:rPr>
              <w:t>Lgi4</w:t>
            </w:r>
          </w:p>
        </w:tc>
        <w:tc>
          <w:tcPr>
            <w:tcW w:w="2410" w:type="dxa"/>
            <w:tcBorders>
              <w:top w:val="nil"/>
              <w:bottom w:val="nil"/>
            </w:tcBorders>
          </w:tcPr>
          <w:p w14:paraId="6B6ED0C3" w14:textId="512416A2" w:rsidR="00E23281" w:rsidRPr="001E7605" w:rsidRDefault="00E23281"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i/>
                <w:iCs/>
                <w:sz w:val="22"/>
                <w:lang w:val="en-GB"/>
              </w:rPr>
            </w:pPr>
            <w:r w:rsidRPr="00A945AB">
              <w:rPr>
                <w:rFonts w:ascii="Garamond" w:eastAsia="Calibri" w:hAnsi="Garamond" w:cs="Times New Roman"/>
                <w:i/>
                <w:iCs/>
                <w:sz w:val="22"/>
                <w:lang w:val="en-GB"/>
              </w:rPr>
              <w:t>LGI4</w:t>
            </w:r>
          </w:p>
        </w:tc>
        <w:tc>
          <w:tcPr>
            <w:tcW w:w="3118" w:type="dxa"/>
            <w:tcBorders>
              <w:top w:val="nil"/>
              <w:bottom w:val="nil"/>
              <w:right w:val="single" w:sz="4" w:space="0" w:color="auto"/>
            </w:tcBorders>
          </w:tcPr>
          <w:p w14:paraId="154BC2C0" w14:textId="3F2AD023" w:rsidR="00E23281" w:rsidRPr="001E7605" w:rsidRDefault="00E23281" w:rsidP="0082688A">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sz w:val="22"/>
                <w:lang w:val="en-GB"/>
              </w:rPr>
            </w:pPr>
            <w:r w:rsidRPr="001E7605">
              <w:rPr>
                <w:rFonts w:ascii="Garamond" w:eastAsia="Calibri" w:hAnsi="Garamond" w:cs="Times New Roman"/>
                <w:sz w:val="22"/>
                <w:lang w:val="en-GB"/>
              </w:rPr>
              <w:t>Hs00373801_m1</w:t>
            </w:r>
          </w:p>
        </w:tc>
      </w:tr>
      <w:tr w:rsidR="00E23281" w:rsidRPr="001E7605" w14:paraId="71B60B6A" w14:textId="77777777" w:rsidTr="00034BD9">
        <w:trPr>
          <w:trHeight w:val="238"/>
        </w:trPr>
        <w:tc>
          <w:tcPr>
            <w:cnfStyle w:val="001000000000" w:firstRow="0" w:lastRow="0" w:firstColumn="1" w:lastColumn="0" w:oddVBand="0" w:evenVBand="0" w:oddHBand="0" w:evenHBand="0" w:firstRowFirstColumn="0" w:firstRowLastColumn="0" w:lastRowFirstColumn="0" w:lastRowLastColumn="0"/>
            <w:tcW w:w="3114" w:type="dxa"/>
            <w:tcBorders>
              <w:top w:val="nil"/>
              <w:left w:val="single" w:sz="4" w:space="0" w:color="auto"/>
              <w:bottom w:val="single" w:sz="4" w:space="0" w:color="auto"/>
            </w:tcBorders>
          </w:tcPr>
          <w:p w14:paraId="08DFA692" w14:textId="018C82A1" w:rsidR="00E23281" w:rsidRPr="001E7605" w:rsidRDefault="00E23281" w:rsidP="0082688A">
            <w:pPr>
              <w:spacing w:line="276" w:lineRule="auto"/>
              <w:jc w:val="center"/>
              <w:rPr>
                <w:rFonts w:ascii="Garamond" w:eastAsia="Calibri" w:hAnsi="Garamond" w:cs="Times New Roman"/>
                <w:sz w:val="22"/>
                <w:lang w:val="en-GB"/>
              </w:rPr>
            </w:pPr>
            <w:r w:rsidRPr="001E7605">
              <w:rPr>
                <w:rFonts w:ascii="Garamond" w:eastAsia="Calibri" w:hAnsi="Garamond" w:cs="Times New Roman"/>
                <w:b w:val="0"/>
                <w:bCs w:val="0"/>
                <w:sz w:val="22"/>
                <w:lang w:val="en-GB"/>
              </w:rPr>
              <w:t>GAPDH</w:t>
            </w:r>
          </w:p>
        </w:tc>
        <w:tc>
          <w:tcPr>
            <w:tcW w:w="2410" w:type="dxa"/>
            <w:tcBorders>
              <w:top w:val="nil"/>
              <w:bottom w:val="single" w:sz="4" w:space="0" w:color="auto"/>
            </w:tcBorders>
          </w:tcPr>
          <w:p w14:paraId="0705D9AD" w14:textId="5E7BA20F" w:rsidR="00E23281" w:rsidRPr="001E7605" w:rsidRDefault="00E23281"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Times New Roman"/>
                <w:i/>
                <w:iCs/>
                <w:sz w:val="22"/>
                <w:lang w:val="en-GB"/>
              </w:rPr>
            </w:pPr>
            <w:r w:rsidRPr="00A945AB">
              <w:rPr>
                <w:rFonts w:ascii="Garamond" w:eastAsia="Calibri" w:hAnsi="Garamond" w:cs="Times New Roman"/>
                <w:i/>
                <w:iCs/>
                <w:sz w:val="22"/>
                <w:lang w:val="en-GB"/>
              </w:rPr>
              <w:t>GAPDH</w:t>
            </w:r>
          </w:p>
        </w:tc>
        <w:tc>
          <w:tcPr>
            <w:tcW w:w="3118" w:type="dxa"/>
            <w:tcBorders>
              <w:top w:val="nil"/>
              <w:bottom w:val="single" w:sz="4" w:space="0" w:color="auto"/>
              <w:right w:val="single" w:sz="4" w:space="0" w:color="auto"/>
            </w:tcBorders>
          </w:tcPr>
          <w:p w14:paraId="067C82E4" w14:textId="0480E8CA" w:rsidR="00E23281" w:rsidRPr="001E7605" w:rsidRDefault="00E23281" w:rsidP="00826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Times New Roman"/>
                <w:sz w:val="22"/>
                <w:lang w:val="en-GB"/>
              </w:rPr>
            </w:pPr>
            <w:r w:rsidRPr="001E7605">
              <w:rPr>
                <w:rFonts w:ascii="Garamond" w:eastAsia="Calibri" w:hAnsi="Garamond" w:cs="Times New Roman"/>
                <w:sz w:val="22"/>
                <w:lang w:val="en-GB"/>
              </w:rPr>
              <w:t>H02758991_g1</w:t>
            </w:r>
          </w:p>
        </w:tc>
      </w:tr>
    </w:tbl>
    <w:p w14:paraId="1998C198" w14:textId="77777777" w:rsidR="00622175" w:rsidRPr="001E7605" w:rsidRDefault="00622175" w:rsidP="00FF720A">
      <w:pPr>
        <w:pStyle w:val="Ttulo3Tesis"/>
      </w:pPr>
      <w:bookmarkStart w:id="40" w:name="_Toc145663656"/>
    </w:p>
    <w:p w14:paraId="7FF7D39A" w14:textId="57DB7808" w:rsidR="000B48C9" w:rsidRPr="001E7605" w:rsidRDefault="000B48C9" w:rsidP="00FF720A">
      <w:pPr>
        <w:pStyle w:val="Ttulo3Tesis"/>
      </w:pPr>
      <w:r w:rsidRPr="001E7605">
        <w:t>Statistical analysis</w:t>
      </w:r>
      <w:bookmarkEnd w:id="40"/>
    </w:p>
    <w:p w14:paraId="617DAC3C" w14:textId="3C6F8117" w:rsidR="000B48C9" w:rsidRPr="001E7605" w:rsidRDefault="000B48C9">
      <w:pPr>
        <w:pStyle w:val="TextoTesis"/>
      </w:pPr>
      <w:r w:rsidRPr="001E7605">
        <w:t xml:space="preserve">Data are expressed as mean ± SEM where N represents the number of patients or animals, and n represents the number of individual cells. Comparisons were performed between different experimental groups by an unpaired two-tailed Student’s t-test or with multiple comparison Mann-Whitney’s test. When more than two experimental groups were compared, one-way or two-way ANOVA with Tukey’s or </w:t>
      </w:r>
      <w:proofErr w:type="spellStart"/>
      <w:r w:rsidRPr="001E7605">
        <w:t>Šídák’s</w:t>
      </w:r>
      <w:proofErr w:type="spellEnd"/>
      <w:r w:rsidRPr="001E7605">
        <w:t xml:space="preserve"> multiple comparison test, respectively, were used. Contingency analysis was performed with chi-square test. Differences were considered significant when p&lt;0.05. </w:t>
      </w:r>
    </w:p>
    <w:p w14:paraId="391088FD" w14:textId="6F3A91C8" w:rsidR="00F26BE2" w:rsidRPr="001E7605" w:rsidRDefault="00F26BE2">
      <w:pPr>
        <w:pStyle w:val="TextoTesis"/>
      </w:pPr>
    </w:p>
    <w:p w14:paraId="6B696605" w14:textId="77777777" w:rsidR="00FA218B" w:rsidRPr="001E7605" w:rsidRDefault="00FA218B">
      <w:pPr>
        <w:spacing w:after="160" w:line="259" w:lineRule="auto"/>
        <w:rPr>
          <w:rFonts w:ascii="Garamond" w:eastAsiaTheme="majorEastAsia" w:hAnsi="Garamond" w:cstheme="majorBidi"/>
          <w:b/>
          <w:color w:val="000000" w:themeColor="text1"/>
          <w:lang w:val="en-US"/>
        </w:rPr>
      </w:pPr>
      <w:r w:rsidRPr="001E7605">
        <w:rPr>
          <w:lang w:val="en-GB"/>
        </w:rPr>
        <w:br w:type="page"/>
      </w:r>
    </w:p>
    <w:p w14:paraId="34F79DEB" w14:textId="0C1A638A" w:rsidR="00F26BE2" w:rsidRPr="001E7605" w:rsidRDefault="00FA218B" w:rsidP="00FF720A">
      <w:pPr>
        <w:pStyle w:val="Ttulo3Tesis"/>
      </w:pPr>
      <w:r w:rsidRPr="001E7605">
        <w:lastRenderedPageBreak/>
        <w:t xml:space="preserve">SUPPLEMENTARY </w:t>
      </w:r>
      <w:r w:rsidR="00F26BE2" w:rsidRPr="001E7605">
        <w:t>REFERENCES</w:t>
      </w:r>
    </w:p>
    <w:p w14:paraId="235A4B07" w14:textId="77777777" w:rsidR="001369AC" w:rsidRPr="001E7605" w:rsidRDefault="00F26BE2" w:rsidP="004B2876">
      <w:pPr>
        <w:pStyle w:val="Bibliography"/>
        <w:spacing w:line="276" w:lineRule="auto"/>
        <w:rPr>
          <w:rFonts w:ascii="Garamond" w:hAnsi="Garamond"/>
          <w:lang w:val="en-GB"/>
        </w:rPr>
      </w:pPr>
      <w:r w:rsidRPr="001E7605">
        <w:fldChar w:fldCharType="begin"/>
      </w:r>
      <w:r w:rsidRPr="001E7605">
        <w:rPr>
          <w:lang w:val="en-GB"/>
        </w:rPr>
        <w:instrText xml:space="preserve"> ADDIN ZOTERO_BIBL {"uncited":[],"omitted":[],"custom":[]} CSL_BIBLIOGRAPHY </w:instrText>
      </w:r>
      <w:r w:rsidRPr="001E7605">
        <w:fldChar w:fldCharType="separate"/>
      </w:r>
      <w:r w:rsidR="001369AC" w:rsidRPr="001E7605">
        <w:rPr>
          <w:rFonts w:ascii="Garamond" w:hAnsi="Garamond"/>
          <w:lang w:val="en-GB"/>
        </w:rPr>
        <w:t>1.</w:t>
      </w:r>
      <w:r w:rsidR="001369AC" w:rsidRPr="001E7605">
        <w:rPr>
          <w:rFonts w:ascii="Garamond" w:hAnsi="Garamond"/>
          <w:lang w:val="en-GB"/>
        </w:rPr>
        <w:tab/>
        <w:t>Uebele, V. N., England, S. K., Chaudhary, A., Tamkun, M. M. &amp; Snyders, D. J. Functional Differences in Kv1.5 Currents Expressed in Mammalian Cell Lines Are Due to the Presence of Endogenous Kv</w:t>
      </w:r>
      <w:r w:rsidR="001369AC" w:rsidRPr="001E7605">
        <w:rPr>
          <w:rFonts w:ascii="Garamond" w:hAnsi="Garamond"/>
        </w:rPr>
        <w:t>β</w:t>
      </w:r>
      <w:r w:rsidR="001369AC" w:rsidRPr="001E7605">
        <w:rPr>
          <w:rFonts w:ascii="Garamond" w:hAnsi="Garamond"/>
          <w:lang w:val="en-GB"/>
        </w:rPr>
        <w:t xml:space="preserve">2.1 Subunits. </w:t>
      </w:r>
      <w:r w:rsidR="001369AC" w:rsidRPr="001E7605">
        <w:rPr>
          <w:rFonts w:ascii="Garamond" w:hAnsi="Garamond"/>
          <w:i/>
          <w:iCs/>
          <w:lang w:val="en-GB"/>
        </w:rPr>
        <w:t>J. Biol. Chem.</w:t>
      </w:r>
      <w:r w:rsidR="001369AC" w:rsidRPr="001E7605">
        <w:rPr>
          <w:rFonts w:ascii="Garamond" w:hAnsi="Garamond"/>
          <w:lang w:val="en-GB"/>
        </w:rPr>
        <w:t xml:space="preserve"> </w:t>
      </w:r>
      <w:r w:rsidR="001369AC" w:rsidRPr="001E7605">
        <w:rPr>
          <w:rFonts w:ascii="Garamond" w:hAnsi="Garamond"/>
          <w:b/>
          <w:bCs/>
          <w:lang w:val="en-GB"/>
        </w:rPr>
        <w:t>271</w:t>
      </w:r>
      <w:r w:rsidR="001369AC" w:rsidRPr="001E7605">
        <w:rPr>
          <w:rFonts w:ascii="Garamond" w:hAnsi="Garamond"/>
          <w:lang w:val="en-GB"/>
        </w:rPr>
        <w:t>, 2406–2412 (1996).</w:t>
      </w:r>
    </w:p>
    <w:p w14:paraId="59FD10C7"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2.</w:t>
      </w:r>
      <w:r w:rsidRPr="001E7605">
        <w:rPr>
          <w:rFonts w:ascii="Garamond" w:hAnsi="Garamond"/>
          <w:lang w:val="en-GB"/>
        </w:rPr>
        <w:tab/>
        <w:t>de Benito-Bueno, Á. Characterization of the human cardiac KV1.5 channelosome: role of KChIP2. (Universidad Autónoma de Madrid, 2022).</w:t>
      </w:r>
    </w:p>
    <w:p w14:paraId="5C7975D6"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3.</w:t>
      </w:r>
      <w:r w:rsidRPr="001E7605">
        <w:rPr>
          <w:rFonts w:ascii="Garamond" w:hAnsi="Garamond"/>
          <w:lang w:val="en-GB"/>
        </w:rPr>
        <w:tab/>
        <w:t>Kwak, Y.-G., Navarro-Polanco, R. A., Grobaski, T., Gallagher, D. J. &amp; Tamkun, M. M. Phosphorylation Is Required for Alteration of Kv1.5 K+ Channel Function by the Kv</w:t>
      </w:r>
      <w:r w:rsidRPr="001E7605">
        <w:rPr>
          <w:rFonts w:ascii="Garamond" w:hAnsi="Garamond"/>
        </w:rPr>
        <w:t>β</w:t>
      </w:r>
      <w:r w:rsidRPr="001E7605">
        <w:rPr>
          <w:rFonts w:ascii="Garamond" w:hAnsi="Garamond"/>
          <w:lang w:val="en-GB"/>
        </w:rPr>
        <w:t xml:space="preserve">1.3 Subunit. </w:t>
      </w:r>
      <w:r w:rsidRPr="001E7605">
        <w:rPr>
          <w:rFonts w:ascii="Garamond" w:hAnsi="Garamond"/>
          <w:i/>
          <w:iCs/>
          <w:lang w:val="en-GB"/>
        </w:rPr>
        <w:t>J. Biol. Chem.</w:t>
      </w:r>
      <w:r w:rsidRPr="001E7605">
        <w:rPr>
          <w:rFonts w:ascii="Garamond" w:hAnsi="Garamond"/>
          <w:lang w:val="en-GB"/>
        </w:rPr>
        <w:t xml:space="preserve"> </w:t>
      </w:r>
      <w:r w:rsidRPr="001E7605">
        <w:rPr>
          <w:rFonts w:ascii="Garamond" w:hAnsi="Garamond"/>
          <w:b/>
          <w:bCs/>
          <w:lang w:val="en-GB"/>
        </w:rPr>
        <w:t>274</w:t>
      </w:r>
      <w:r w:rsidRPr="001E7605">
        <w:rPr>
          <w:rFonts w:ascii="Garamond" w:hAnsi="Garamond"/>
          <w:lang w:val="en-GB"/>
        </w:rPr>
        <w:t>, 25355–25361 (1999b).</w:t>
      </w:r>
    </w:p>
    <w:p w14:paraId="3AAA80E3"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4.</w:t>
      </w:r>
      <w:r w:rsidRPr="001E7605">
        <w:rPr>
          <w:rFonts w:ascii="Garamond" w:hAnsi="Garamond"/>
          <w:lang w:val="en-GB"/>
        </w:rPr>
        <w:tab/>
        <w:t xml:space="preserve">David, M. </w:t>
      </w:r>
      <w:r w:rsidRPr="001E7605">
        <w:rPr>
          <w:rFonts w:ascii="Garamond" w:hAnsi="Garamond"/>
          <w:i/>
          <w:iCs/>
          <w:lang w:val="en-GB"/>
        </w:rPr>
        <w:t>et al.</w:t>
      </w:r>
      <w:r w:rsidRPr="001E7605">
        <w:rPr>
          <w:rFonts w:ascii="Garamond" w:hAnsi="Garamond"/>
          <w:lang w:val="en-GB"/>
        </w:rPr>
        <w:t xml:space="preserve"> Protein Kinase C (PKC) Activity Regulates Functional Effects of Kv</w:t>
      </w:r>
      <w:r w:rsidRPr="001E7605">
        <w:rPr>
          <w:rFonts w:ascii="Garamond" w:hAnsi="Garamond"/>
        </w:rPr>
        <w:t>β</w:t>
      </w:r>
      <w:r w:rsidRPr="001E7605">
        <w:rPr>
          <w:rFonts w:ascii="Garamond" w:hAnsi="Garamond"/>
          <w:lang w:val="en-GB"/>
        </w:rPr>
        <w:t xml:space="preserve">1.3 Subunit on KV1.5 Channels. </w:t>
      </w:r>
      <w:r w:rsidRPr="001E7605">
        <w:rPr>
          <w:rFonts w:ascii="Garamond" w:hAnsi="Garamond"/>
          <w:i/>
          <w:iCs/>
          <w:lang w:val="en-GB"/>
        </w:rPr>
        <w:t>J. Biol. Chem.</w:t>
      </w:r>
      <w:r w:rsidRPr="001E7605">
        <w:rPr>
          <w:rFonts w:ascii="Garamond" w:hAnsi="Garamond"/>
          <w:lang w:val="en-GB"/>
        </w:rPr>
        <w:t xml:space="preserve"> </w:t>
      </w:r>
      <w:r w:rsidRPr="001E7605">
        <w:rPr>
          <w:rFonts w:ascii="Garamond" w:hAnsi="Garamond"/>
          <w:b/>
          <w:bCs/>
          <w:lang w:val="en-GB"/>
        </w:rPr>
        <w:t>287</w:t>
      </w:r>
      <w:r w:rsidRPr="001E7605">
        <w:rPr>
          <w:rFonts w:ascii="Garamond" w:hAnsi="Garamond"/>
          <w:lang w:val="en-GB"/>
        </w:rPr>
        <w:t>, 21416–21428 (2012).</w:t>
      </w:r>
    </w:p>
    <w:p w14:paraId="3A1F5EC1"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5.</w:t>
      </w:r>
      <w:r w:rsidRPr="001E7605">
        <w:rPr>
          <w:rFonts w:ascii="Garamond" w:hAnsi="Garamond"/>
          <w:lang w:val="en-GB"/>
        </w:rPr>
        <w:tab/>
        <w:t xml:space="preserve">Franqueza, L. Functional expression of an inactivating potassium channel (Kv4.3) in a mammalian cell line. </w:t>
      </w:r>
      <w:r w:rsidRPr="001E7605">
        <w:rPr>
          <w:rFonts w:ascii="Garamond" w:hAnsi="Garamond"/>
          <w:i/>
          <w:iCs/>
          <w:lang w:val="en-GB"/>
        </w:rPr>
        <w:t>Cardiovasc. Res.</w:t>
      </w:r>
      <w:r w:rsidRPr="001E7605">
        <w:rPr>
          <w:rFonts w:ascii="Garamond" w:hAnsi="Garamond"/>
          <w:lang w:val="en-GB"/>
        </w:rPr>
        <w:t xml:space="preserve"> </w:t>
      </w:r>
      <w:r w:rsidRPr="001E7605">
        <w:rPr>
          <w:rFonts w:ascii="Garamond" w:hAnsi="Garamond"/>
          <w:b/>
          <w:bCs/>
          <w:lang w:val="en-GB"/>
        </w:rPr>
        <w:t>41</w:t>
      </w:r>
      <w:r w:rsidRPr="001E7605">
        <w:rPr>
          <w:rFonts w:ascii="Garamond" w:hAnsi="Garamond"/>
          <w:lang w:val="en-GB"/>
        </w:rPr>
        <w:t>, 212–219 (1999).</w:t>
      </w:r>
    </w:p>
    <w:p w14:paraId="6082E73B"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6.</w:t>
      </w:r>
      <w:r w:rsidRPr="001E7605">
        <w:rPr>
          <w:rFonts w:ascii="Garamond" w:hAnsi="Garamond"/>
          <w:lang w:val="en-GB"/>
        </w:rPr>
        <w:tab/>
        <w:t xml:space="preserve">Zadeh, A. D. </w:t>
      </w:r>
      <w:r w:rsidRPr="001E7605">
        <w:rPr>
          <w:rFonts w:ascii="Garamond" w:hAnsi="Garamond"/>
          <w:i/>
          <w:iCs/>
          <w:lang w:val="en-GB"/>
        </w:rPr>
        <w:t>et al.</w:t>
      </w:r>
      <w:r w:rsidRPr="001E7605">
        <w:rPr>
          <w:rFonts w:ascii="Garamond" w:hAnsi="Garamond"/>
          <w:lang w:val="en-GB"/>
        </w:rPr>
        <w:t xml:space="preserve"> Internalized Kv1.5 traffics via Rab-dependent pathways: Rab-dependent trafficking of Kv1.5. </w:t>
      </w:r>
      <w:r w:rsidRPr="001E7605">
        <w:rPr>
          <w:rFonts w:ascii="Garamond" w:hAnsi="Garamond"/>
          <w:i/>
          <w:iCs/>
          <w:lang w:val="en-GB"/>
        </w:rPr>
        <w:t>J. Physiol.</w:t>
      </w:r>
      <w:r w:rsidRPr="001E7605">
        <w:rPr>
          <w:rFonts w:ascii="Garamond" w:hAnsi="Garamond"/>
          <w:lang w:val="en-GB"/>
        </w:rPr>
        <w:t xml:space="preserve"> </w:t>
      </w:r>
      <w:r w:rsidRPr="001E7605">
        <w:rPr>
          <w:rFonts w:ascii="Garamond" w:hAnsi="Garamond"/>
          <w:b/>
          <w:bCs/>
          <w:lang w:val="en-GB"/>
        </w:rPr>
        <w:t>586</w:t>
      </w:r>
      <w:r w:rsidRPr="001E7605">
        <w:rPr>
          <w:rFonts w:ascii="Garamond" w:hAnsi="Garamond"/>
          <w:lang w:val="en-GB"/>
        </w:rPr>
        <w:t>, 4793–4813 (2008).</w:t>
      </w:r>
    </w:p>
    <w:p w14:paraId="18EDA976"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7.</w:t>
      </w:r>
      <w:r w:rsidRPr="001E7605">
        <w:rPr>
          <w:rFonts w:ascii="Garamond" w:hAnsi="Garamond"/>
          <w:lang w:val="en-GB"/>
        </w:rPr>
        <w:tab/>
        <w:t xml:space="preserve">Macías, Á. </w:t>
      </w:r>
      <w:r w:rsidRPr="001E7605">
        <w:rPr>
          <w:rFonts w:ascii="Garamond" w:hAnsi="Garamond"/>
          <w:i/>
          <w:iCs/>
          <w:lang w:val="en-GB"/>
        </w:rPr>
        <w:t>et al.</w:t>
      </w:r>
      <w:r w:rsidRPr="001E7605">
        <w:rPr>
          <w:rFonts w:ascii="Garamond" w:hAnsi="Garamond"/>
          <w:lang w:val="en-GB"/>
        </w:rPr>
        <w:t xml:space="preserve"> Kir2.1 dysfunction at the sarcolemma and the sarcoplasmic reticulum causes arrhythmias in a mouse model of Andersen–Tawil syndrome type 1. </w:t>
      </w:r>
      <w:r w:rsidRPr="001E7605">
        <w:rPr>
          <w:rFonts w:ascii="Garamond" w:hAnsi="Garamond"/>
          <w:i/>
          <w:iCs/>
          <w:lang w:val="en-GB"/>
        </w:rPr>
        <w:t>Nat. Cardiovasc. Res.</w:t>
      </w:r>
      <w:r w:rsidRPr="001E7605">
        <w:rPr>
          <w:rFonts w:ascii="Garamond" w:hAnsi="Garamond"/>
          <w:lang w:val="en-GB"/>
        </w:rPr>
        <w:t xml:space="preserve"> </w:t>
      </w:r>
      <w:r w:rsidRPr="001E7605">
        <w:rPr>
          <w:rFonts w:ascii="Garamond" w:hAnsi="Garamond"/>
          <w:b/>
          <w:bCs/>
          <w:lang w:val="en-GB"/>
        </w:rPr>
        <w:t>1</w:t>
      </w:r>
      <w:r w:rsidRPr="001E7605">
        <w:rPr>
          <w:rFonts w:ascii="Garamond" w:hAnsi="Garamond"/>
          <w:lang w:val="en-GB"/>
        </w:rPr>
        <w:t>, 900–917 (2022).</w:t>
      </w:r>
    </w:p>
    <w:p w14:paraId="708AE456"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8.</w:t>
      </w:r>
      <w:r w:rsidRPr="001E7605">
        <w:rPr>
          <w:rFonts w:ascii="Garamond" w:hAnsi="Garamond"/>
          <w:lang w:val="en-GB"/>
        </w:rPr>
        <w:tab/>
        <w:t xml:space="preserve">Prasad, K.-M. R., Xu, Y., Yang, Z., Acton, S. T. &amp; French, B. A. Robust cardiomyocyte-specific gene expression following systemic injection of AAV: in vivo gene delivery follows a Poisson distribution. </w:t>
      </w:r>
      <w:r w:rsidRPr="001E7605">
        <w:rPr>
          <w:rFonts w:ascii="Garamond" w:hAnsi="Garamond"/>
          <w:i/>
          <w:iCs/>
          <w:lang w:val="en-GB"/>
        </w:rPr>
        <w:t>Gene Ther.</w:t>
      </w:r>
      <w:r w:rsidRPr="001E7605">
        <w:rPr>
          <w:rFonts w:ascii="Garamond" w:hAnsi="Garamond"/>
          <w:lang w:val="en-GB"/>
        </w:rPr>
        <w:t xml:space="preserve"> </w:t>
      </w:r>
      <w:r w:rsidRPr="001E7605">
        <w:rPr>
          <w:rFonts w:ascii="Garamond" w:hAnsi="Garamond"/>
          <w:b/>
          <w:bCs/>
          <w:lang w:val="en-GB"/>
        </w:rPr>
        <w:t>18</w:t>
      </w:r>
      <w:r w:rsidRPr="001E7605">
        <w:rPr>
          <w:rFonts w:ascii="Garamond" w:hAnsi="Garamond"/>
          <w:lang w:val="en-GB"/>
        </w:rPr>
        <w:t>, 43–52 (2011).</w:t>
      </w:r>
    </w:p>
    <w:p w14:paraId="1B66BA98"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9.</w:t>
      </w:r>
      <w:r w:rsidRPr="001E7605">
        <w:rPr>
          <w:rFonts w:ascii="Garamond" w:hAnsi="Garamond"/>
          <w:lang w:val="en-GB"/>
        </w:rPr>
        <w:tab/>
        <w:t xml:space="preserve">Bezzerides, V. J. </w:t>
      </w:r>
      <w:r w:rsidRPr="001E7605">
        <w:rPr>
          <w:rFonts w:ascii="Garamond" w:hAnsi="Garamond"/>
          <w:i/>
          <w:iCs/>
          <w:lang w:val="en-GB"/>
        </w:rPr>
        <w:t>et al.</w:t>
      </w:r>
      <w:r w:rsidRPr="001E7605">
        <w:rPr>
          <w:rFonts w:ascii="Garamond" w:hAnsi="Garamond"/>
          <w:lang w:val="en-GB"/>
        </w:rPr>
        <w:t xml:space="preserve"> Gene Therapy for Catecholaminergic Polymorphic Ventricular Tachycardia by Inhibition of Ca </w:t>
      </w:r>
      <w:r w:rsidRPr="001E7605">
        <w:rPr>
          <w:rFonts w:ascii="Garamond" w:hAnsi="Garamond"/>
          <w:vertAlign w:val="superscript"/>
          <w:lang w:val="en-GB"/>
        </w:rPr>
        <w:t>2+</w:t>
      </w:r>
      <w:r w:rsidRPr="001E7605">
        <w:rPr>
          <w:rFonts w:ascii="Garamond" w:hAnsi="Garamond"/>
          <w:lang w:val="en-GB"/>
        </w:rPr>
        <w:t xml:space="preserve"> /Calmodulin-Dependent Kinase II. </w:t>
      </w:r>
      <w:r w:rsidRPr="001E7605">
        <w:rPr>
          <w:rFonts w:ascii="Garamond" w:hAnsi="Garamond"/>
          <w:i/>
          <w:iCs/>
          <w:lang w:val="en-GB"/>
        </w:rPr>
        <w:t>Circulation</w:t>
      </w:r>
      <w:r w:rsidRPr="001E7605">
        <w:rPr>
          <w:rFonts w:ascii="Garamond" w:hAnsi="Garamond"/>
          <w:lang w:val="en-GB"/>
        </w:rPr>
        <w:t xml:space="preserve"> </w:t>
      </w:r>
      <w:r w:rsidRPr="001E7605">
        <w:rPr>
          <w:rFonts w:ascii="Garamond" w:hAnsi="Garamond"/>
          <w:b/>
          <w:bCs/>
          <w:lang w:val="en-GB"/>
        </w:rPr>
        <w:t>140</w:t>
      </w:r>
      <w:r w:rsidRPr="001E7605">
        <w:rPr>
          <w:rFonts w:ascii="Garamond" w:hAnsi="Garamond"/>
          <w:lang w:val="en-GB"/>
        </w:rPr>
        <w:t>, 405–419 (2019).</w:t>
      </w:r>
    </w:p>
    <w:p w14:paraId="4F111CBB"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10.</w:t>
      </w:r>
      <w:r w:rsidRPr="001E7605">
        <w:rPr>
          <w:rFonts w:ascii="Garamond" w:hAnsi="Garamond"/>
          <w:lang w:val="en-GB"/>
        </w:rPr>
        <w:tab/>
        <w:t xml:space="preserve">Cruz, F. M. </w:t>
      </w:r>
      <w:r w:rsidRPr="001E7605">
        <w:rPr>
          <w:rFonts w:ascii="Garamond" w:hAnsi="Garamond"/>
          <w:i/>
          <w:iCs/>
          <w:lang w:val="en-GB"/>
        </w:rPr>
        <w:t>et al.</w:t>
      </w:r>
      <w:r w:rsidRPr="001E7605">
        <w:rPr>
          <w:rFonts w:ascii="Garamond" w:hAnsi="Garamond"/>
          <w:lang w:val="en-GB"/>
        </w:rPr>
        <w:t xml:space="preserve"> Exercise Triggers ARVC Phenotype in Mice Expressing a Disease-Causing Mutated Version of Human Plakophilin-2. </w:t>
      </w:r>
      <w:r w:rsidRPr="001E7605">
        <w:rPr>
          <w:rFonts w:ascii="Garamond" w:hAnsi="Garamond"/>
          <w:i/>
          <w:iCs/>
          <w:lang w:val="en-GB"/>
        </w:rPr>
        <w:t>J. Am. Coll. Cardiol.</w:t>
      </w:r>
      <w:r w:rsidRPr="001E7605">
        <w:rPr>
          <w:rFonts w:ascii="Garamond" w:hAnsi="Garamond"/>
          <w:lang w:val="en-GB"/>
        </w:rPr>
        <w:t xml:space="preserve"> </w:t>
      </w:r>
      <w:r w:rsidRPr="001E7605">
        <w:rPr>
          <w:rFonts w:ascii="Garamond" w:hAnsi="Garamond"/>
          <w:b/>
          <w:bCs/>
          <w:lang w:val="en-GB"/>
        </w:rPr>
        <w:t>65</w:t>
      </w:r>
      <w:r w:rsidRPr="001E7605">
        <w:rPr>
          <w:rFonts w:ascii="Garamond" w:hAnsi="Garamond"/>
          <w:lang w:val="en-GB"/>
        </w:rPr>
        <w:t>, 1438–1450 (2015).</w:t>
      </w:r>
    </w:p>
    <w:p w14:paraId="5E87FEA9"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11.</w:t>
      </w:r>
      <w:r w:rsidRPr="001E7605">
        <w:rPr>
          <w:rFonts w:ascii="Garamond" w:hAnsi="Garamond"/>
          <w:lang w:val="en-GB"/>
        </w:rPr>
        <w:tab/>
        <w:t xml:space="preserve">Xiao, X., Li, J. &amp; Samulski, R. J. Production of High-Titer Recombinant Adeno-Associated Virus Vectors in the Absence of Helper Adenovirus. </w:t>
      </w:r>
      <w:r w:rsidRPr="001E7605">
        <w:rPr>
          <w:rFonts w:ascii="Garamond" w:hAnsi="Garamond"/>
          <w:i/>
          <w:iCs/>
          <w:lang w:val="en-GB"/>
        </w:rPr>
        <w:t>J. Virol.</w:t>
      </w:r>
      <w:r w:rsidRPr="001E7605">
        <w:rPr>
          <w:rFonts w:ascii="Garamond" w:hAnsi="Garamond"/>
          <w:lang w:val="en-GB"/>
        </w:rPr>
        <w:t xml:space="preserve"> </w:t>
      </w:r>
      <w:r w:rsidRPr="001E7605">
        <w:rPr>
          <w:rFonts w:ascii="Garamond" w:hAnsi="Garamond"/>
          <w:b/>
          <w:bCs/>
          <w:lang w:val="en-GB"/>
        </w:rPr>
        <w:t>72</w:t>
      </w:r>
      <w:r w:rsidRPr="001E7605">
        <w:rPr>
          <w:rFonts w:ascii="Garamond" w:hAnsi="Garamond"/>
          <w:lang w:val="en-GB"/>
        </w:rPr>
        <w:t>, 2224–2232 (1998).</w:t>
      </w:r>
    </w:p>
    <w:p w14:paraId="2241733C"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12.</w:t>
      </w:r>
      <w:r w:rsidRPr="001E7605">
        <w:rPr>
          <w:rFonts w:ascii="Garamond" w:hAnsi="Garamond"/>
          <w:lang w:val="en-GB"/>
        </w:rPr>
        <w:tab/>
        <w:t xml:space="preserve">Hauswirth, W. W., Lewin, A. S., Zolotukhin, S. &amp; Muzyczka, N. [48] Production and purification of recombinant adeno-associated virus. in </w:t>
      </w:r>
      <w:r w:rsidRPr="001E7605">
        <w:rPr>
          <w:rFonts w:ascii="Garamond" w:hAnsi="Garamond"/>
          <w:i/>
          <w:iCs/>
          <w:lang w:val="en-GB"/>
        </w:rPr>
        <w:t>Methods in Enzymology</w:t>
      </w:r>
      <w:r w:rsidRPr="001E7605">
        <w:rPr>
          <w:rFonts w:ascii="Garamond" w:hAnsi="Garamond"/>
          <w:lang w:val="en-GB"/>
        </w:rPr>
        <w:t xml:space="preserve"> vol. 316 743–761 (Elsevier, 2000).</w:t>
      </w:r>
    </w:p>
    <w:p w14:paraId="43EE9678"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rPr>
        <w:t>13.</w:t>
      </w:r>
      <w:r w:rsidRPr="001E7605">
        <w:rPr>
          <w:rFonts w:ascii="Garamond" w:hAnsi="Garamond"/>
        </w:rPr>
        <w:tab/>
        <w:t xml:space="preserve">Prasad, K.-M. R. </w:t>
      </w:r>
      <w:r w:rsidRPr="001E7605">
        <w:rPr>
          <w:rFonts w:ascii="Garamond" w:hAnsi="Garamond"/>
          <w:i/>
          <w:iCs/>
        </w:rPr>
        <w:t>et al.</w:t>
      </w:r>
      <w:r w:rsidRPr="001E7605">
        <w:rPr>
          <w:rFonts w:ascii="Garamond" w:hAnsi="Garamond"/>
        </w:rPr>
        <w:t xml:space="preserve"> </w:t>
      </w:r>
      <w:r w:rsidRPr="001E7605">
        <w:rPr>
          <w:rFonts w:ascii="Garamond" w:hAnsi="Garamond"/>
          <w:lang w:val="en-GB"/>
        </w:rPr>
        <w:t xml:space="preserve">Topoisomerase Inhibition Accelerates Gene Expression after Adeno-associated Virus-mediated Gene Transfer to the Mammalian Heart. </w:t>
      </w:r>
      <w:r w:rsidRPr="001E7605">
        <w:rPr>
          <w:rFonts w:ascii="Garamond" w:hAnsi="Garamond"/>
          <w:i/>
          <w:iCs/>
          <w:lang w:val="en-GB"/>
        </w:rPr>
        <w:t>Mol. Ther.</w:t>
      </w:r>
      <w:r w:rsidRPr="001E7605">
        <w:rPr>
          <w:rFonts w:ascii="Garamond" w:hAnsi="Garamond"/>
          <w:lang w:val="en-GB"/>
        </w:rPr>
        <w:t xml:space="preserve"> </w:t>
      </w:r>
      <w:r w:rsidRPr="001E7605">
        <w:rPr>
          <w:rFonts w:ascii="Garamond" w:hAnsi="Garamond"/>
          <w:b/>
          <w:bCs/>
          <w:lang w:val="en-GB"/>
        </w:rPr>
        <w:t>15</w:t>
      </w:r>
      <w:r w:rsidRPr="001E7605">
        <w:rPr>
          <w:rFonts w:ascii="Garamond" w:hAnsi="Garamond"/>
          <w:lang w:val="en-GB"/>
        </w:rPr>
        <w:t>, 764–771 (2007).</w:t>
      </w:r>
    </w:p>
    <w:p w14:paraId="330F52FC"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14.</w:t>
      </w:r>
      <w:r w:rsidRPr="001E7605">
        <w:rPr>
          <w:rFonts w:ascii="Garamond" w:hAnsi="Garamond"/>
          <w:lang w:val="en-GB"/>
        </w:rPr>
        <w:tab/>
        <w:t xml:space="preserve">Sagie, A., Larson, M. G., Goldberg, R. J., Bengtson, J. R. &amp; Levy, D. An improved method for adjusting the QT interval for heart rate (the Framingham Heart Study). </w:t>
      </w:r>
      <w:r w:rsidRPr="001E7605">
        <w:rPr>
          <w:rFonts w:ascii="Garamond" w:hAnsi="Garamond"/>
          <w:i/>
          <w:iCs/>
          <w:lang w:val="en-GB"/>
        </w:rPr>
        <w:t>Am. J. Cardiol.</w:t>
      </w:r>
      <w:r w:rsidRPr="001E7605">
        <w:rPr>
          <w:rFonts w:ascii="Garamond" w:hAnsi="Garamond"/>
          <w:lang w:val="en-GB"/>
        </w:rPr>
        <w:t xml:space="preserve"> </w:t>
      </w:r>
      <w:r w:rsidRPr="001E7605">
        <w:rPr>
          <w:rFonts w:ascii="Garamond" w:hAnsi="Garamond"/>
          <w:b/>
          <w:bCs/>
          <w:lang w:val="en-GB"/>
        </w:rPr>
        <w:t>70</w:t>
      </w:r>
      <w:r w:rsidRPr="001E7605">
        <w:rPr>
          <w:rFonts w:ascii="Garamond" w:hAnsi="Garamond"/>
          <w:lang w:val="en-GB"/>
        </w:rPr>
        <w:t>, 797–801 (1992).</w:t>
      </w:r>
    </w:p>
    <w:p w14:paraId="6DEF5BC5"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15.</w:t>
      </w:r>
      <w:r w:rsidRPr="001E7605">
        <w:rPr>
          <w:rFonts w:ascii="Garamond" w:hAnsi="Garamond"/>
          <w:lang w:val="en-GB"/>
        </w:rPr>
        <w:tab/>
        <w:t xml:space="preserve">Li, N. &amp; Wehrens, X. H. T. Programmed Electrical Stimulation in Mice. </w:t>
      </w:r>
      <w:r w:rsidRPr="001E7605">
        <w:rPr>
          <w:rFonts w:ascii="Garamond" w:hAnsi="Garamond"/>
          <w:i/>
          <w:iCs/>
          <w:lang w:val="en-GB"/>
        </w:rPr>
        <w:t>J. Vis. Exp.</w:t>
      </w:r>
      <w:r w:rsidRPr="001E7605">
        <w:rPr>
          <w:rFonts w:ascii="Garamond" w:hAnsi="Garamond"/>
          <w:lang w:val="en-GB"/>
        </w:rPr>
        <w:t xml:space="preserve"> 1730 (2010) doi:10.3791/1730.</w:t>
      </w:r>
    </w:p>
    <w:p w14:paraId="12A086AF"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16.</w:t>
      </w:r>
      <w:r w:rsidRPr="001E7605">
        <w:rPr>
          <w:rFonts w:ascii="Garamond" w:hAnsi="Garamond"/>
          <w:lang w:val="en-GB"/>
        </w:rPr>
        <w:tab/>
        <w:t xml:space="preserve">García-Prieto, J. </w:t>
      </w:r>
      <w:r w:rsidRPr="001E7605">
        <w:rPr>
          <w:rFonts w:ascii="Garamond" w:hAnsi="Garamond"/>
          <w:i/>
          <w:iCs/>
          <w:lang w:val="en-GB"/>
        </w:rPr>
        <w:t>et al.</w:t>
      </w:r>
      <w:r w:rsidRPr="001E7605">
        <w:rPr>
          <w:rFonts w:ascii="Garamond" w:hAnsi="Garamond"/>
          <w:lang w:val="en-GB"/>
        </w:rPr>
        <w:t xml:space="preserve"> </w:t>
      </w:r>
      <w:r w:rsidRPr="001E7605">
        <w:rPr>
          <w:rFonts w:ascii="Garamond" w:hAnsi="Garamond"/>
        </w:rPr>
        <w:t>β</w:t>
      </w:r>
      <w:r w:rsidRPr="001E7605">
        <w:rPr>
          <w:rFonts w:ascii="Garamond" w:hAnsi="Garamond"/>
          <w:lang w:val="en-GB"/>
        </w:rPr>
        <w:t xml:space="preserve">3 adrenergic receptor selective stimulation during ischemia/reperfusion improves cardiac function in translational models through inhibition of mPTP opening in cardiomyocytes. </w:t>
      </w:r>
      <w:r w:rsidRPr="001E7605">
        <w:rPr>
          <w:rFonts w:ascii="Garamond" w:hAnsi="Garamond"/>
          <w:i/>
          <w:iCs/>
          <w:lang w:val="en-GB"/>
        </w:rPr>
        <w:t>Basic Res. Cardiol.</w:t>
      </w:r>
      <w:r w:rsidRPr="001E7605">
        <w:rPr>
          <w:rFonts w:ascii="Garamond" w:hAnsi="Garamond"/>
          <w:lang w:val="en-GB"/>
        </w:rPr>
        <w:t xml:space="preserve"> </w:t>
      </w:r>
      <w:r w:rsidRPr="001E7605">
        <w:rPr>
          <w:rFonts w:ascii="Garamond" w:hAnsi="Garamond"/>
          <w:b/>
          <w:bCs/>
          <w:lang w:val="en-GB"/>
        </w:rPr>
        <w:t>109</w:t>
      </w:r>
      <w:r w:rsidRPr="001E7605">
        <w:rPr>
          <w:rFonts w:ascii="Garamond" w:hAnsi="Garamond"/>
          <w:lang w:val="en-GB"/>
        </w:rPr>
        <w:t>, 422 (2014).</w:t>
      </w:r>
    </w:p>
    <w:p w14:paraId="335BB3A1"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lastRenderedPageBreak/>
        <w:t>17.</w:t>
      </w:r>
      <w:r w:rsidRPr="001E7605">
        <w:rPr>
          <w:rFonts w:ascii="Garamond" w:hAnsi="Garamond"/>
          <w:lang w:val="en-GB"/>
        </w:rPr>
        <w:tab/>
        <w:t xml:space="preserve">Macías, Á. </w:t>
      </w:r>
      <w:r w:rsidRPr="001E7605">
        <w:rPr>
          <w:rFonts w:ascii="Garamond" w:hAnsi="Garamond"/>
          <w:i/>
          <w:iCs/>
          <w:lang w:val="en-GB"/>
        </w:rPr>
        <w:t>et al.</w:t>
      </w:r>
      <w:r w:rsidRPr="001E7605">
        <w:rPr>
          <w:rFonts w:ascii="Garamond" w:hAnsi="Garamond"/>
          <w:lang w:val="en-GB"/>
        </w:rPr>
        <w:t xml:space="preserve"> Paclitaxel mitigates structural alterations and cardiac conduction system defects in a mouse model of Hutchinson–Gilford progeria syndrome. </w:t>
      </w:r>
      <w:r w:rsidRPr="001E7605">
        <w:rPr>
          <w:rFonts w:ascii="Garamond" w:hAnsi="Garamond"/>
          <w:i/>
          <w:iCs/>
          <w:lang w:val="en-GB"/>
        </w:rPr>
        <w:t>Cardiovasc. Res.</w:t>
      </w:r>
      <w:r w:rsidRPr="001E7605">
        <w:rPr>
          <w:rFonts w:ascii="Garamond" w:hAnsi="Garamond"/>
          <w:lang w:val="en-GB"/>
        </w:rPr>
        <w:t xml:space="preserve"> </w:t>
      </w:r>
      <w:r w:rsidRPr="001E7605">
        <w:rPr>
          <w:rFonts w:ascii="Garamond" w:hAnsi="Garamond"/>
          <w:b/>
          <w:bCs/>
          <w:lang w:val="en-GB"/>
        </w:rPr>
        <w:t>118</w:t>
      </w:r>
      <w:r w:rsidRPr="001E7605">
        <w:rPr>
          <w:rFonts w:ascii="Garamond" w:hAnsi="Garamond"/>
          <w:lang w:val="en-GB"/>
        </w:rPr>
        <w:t>, 503–516 (2022).</w:t>
      </w:r>
    </w:p>
    <w:p w14:paraId="6006E8F9"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18.</w:t>
      </w:r>
      <w:r w:rsidRPr="001E7605">
        <w:rPr>
          <w:rFonts w:ascii="Garamond" w:hAnsi="Garamond"/>
          <w:lang w:val="en-GB"/>
        </w:rPr>
        <w:tab/>
        <w:t xml:space="preserve">Hattori, S., Murakami, F. &amp; Song, W.-J. Rundown of a transient potassium current is attributable to changes in channel voltage dependence. </w:t>
      </w:r>
      <w:r w:rsidRPr="001E7605">
        <w:rPr>
          <w:rFonts w:ascii="Garamond" w:hAnsi="Garamond"/>
          <w:i/>
          <w:iCs/>
          <w:lang w:val="en-GB"/>
        </w:rPr>
        <w:t>Synapse</w:t>
      </w:r>
      <w:r w:rsidRPr="001E7605">
        <w:rPr>
          <w:rFonts w:ascii="Garamond" w:hAnsi="Garamond"/>
          <w:lang w:val="en-GB"/>
        </w:rPr>
        <w:t xml:space="preserve"> </w:t>
      </w:r>
      <w:r w:rsidRPr="001E7605">
        <w:rPr>
          <w:rFonts w:ascii="Garamond" w:hAnsi="Garamond"/>
          <w:b/>
          <w:bCs/>
          <w:lang w:val="en-GB"/>
        </w:rPr>
        <w:t>48</w:t>
      </w:r>
      <w:r w:rsidRPr="001E7605">
        <w:rPr>
          <w:rFonts w:ascii="Garamond" w:hAnsi="Garamond"/>
          <w:lang w:val="en-GB"/>
        </w:rPr>
        <w:t>, 57–65 (2003).</w:t>
      </w:r>
    </w:p>
    <w:p w14:paraId="04248F39"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19.</w:t>
      </w:r>
      <w:r w:rsidRPr="001E7605">
        <w:rPr>
          <w:rFonts w:ascii="Garamond" w:hAnsi="Garamond"/>
          <w:lang w:val="en-GB"/>
        </w:rPr>
        <w:tab/>
        <w:t xml:space="preserve">Chae, Y. J., Choi, B. H., Choi, J.-S. &amp; Hahn, S. J. Block of Kv4.3 potassium channel by trifluoperazine independent of CaMKII. </w:t>
      </w:r>
      <w:r w:rsidRPr="001E7605">
        <w:rPr>
          <w:rFonts w:ascii="Garamond" w:hAnsi="Garamond"/>
          <w:i/>
          <w:iCs/>
          <w:lang w:val="en-GB"/>
        </w:rPr>
        <w:t>Neurosci. Lett.</w:t>
      </w:r>
      <w:r w:rsidRPr="001E7605">
        <w:rPr>
          <w:rFonts w:ascii="Garamond" w:hAnsi="Garamond"/>
          <w:lang w:val="en-GB"/>
        </w:rPr>
        <w:t xml:space="preserve"> </w:t>
      </w:r>
      <w:r w:rsidRPr="001E7605">
        <w:rPr>
          <w:rFonts w:ascii="Garamond" w:hAnsi="Garamond"/>
          <w:b/>
          <w:bCs/>
          <w:lang w:val="en-GB"/>
        </w:rPr>
        <w:t>578</w:t>
      </w:r>
      <w:r w:rsidRPr="001E7605">
        <w:rPr>
          <w:rFonts w:ascii="Garamond" w:hAnsi="Garamond"/>
          <w:lang w:val="en-GB"/>
        </w:rPr>
        <w:t>, 159–164 (2014).</w:t>
      </w:r>
    </w:p>
    <w:p w14:paraId="09972D5D"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20.</w:t>
      </w:r>
      <w:r w:rsidRPr="001E7605">
        <w:rPr>
          <w:rFonts w:ascii="Garamond" w:hAnsi="Garamond"/>
          <w:lang w:val="en-GB"/>
        </w:rPr>
        <w:tab/>
        <w:t xml:space="preserve">Macías, A. </w:t>
      </w:r>
      <w:r w:rsidRPr="001E7605">
        <w:rPr>
          <w:rFonts w:ascii="Garamond" w:hAnsi="Garamond"/>
          <w:i/>
          <w:iCs/>
          <w:lang w:val="en-GB"/>
        </w:rPr>
        <w:t>et al.</w:t>
      </w:r>
      <w:r w:rsidRPr="001E7605">
        <w:rPr>
          <w:rFonts w:ascii="Garamond" w:hAnsi="Garamond"/>
          <w:lang w:val="en-GB"/>
        </w:rPr>
        <w:t xml:space="preserve"> PKC inhibition results in a K </w:t>
      </w:r>
      <w:r w:rsidRPr="001E7605">
        <w:rPr>
          <w:rFonts w:ascii="Garamond" w:hAnsi="Garamond"/>
          <w:vertAlign w:val="subscript"/>
          <w:lang w:val="en-GB"/>
        </w:rPr>
        <w:t>v</w:t>
      </w:r>
      <w:r w:rsidRPr="001E7605">
        <w:rPr>
          <w:rFonts w:ascii="Garamond" w:hAnsi="Garamond"/>
          <w:lang w:val="en-GB"/>
        </w:rPr>
        <w:t xml:space="preserve"> 1.5 + K </w:t>
      </w:r>
      <w:r w:rsidRPr="001E7605">
        <w:rPr>
          <w:rFonts w:ascii="Garamond" w:hAnsi="Garamond"/>
          <w:vertAlign w:val="subscript"/>
          <w:lang w:val="en-GB"/>
        </w:rPr>
        <w:t>v</w:t>
      </w:r>
      <w:r w:rsidRPr="001E7605">
        <w:rPr>
          <w:rFonts w:ascii="Garamond" w:hAnsi="Garamond"/>
          <w:lang w:val="en-GB"/>
        </w:rPr>
        <w:t xml:space="preserve"> </w:t>
      </w:r>
      <w:r w:rsidRPr="001E7605">
        <w:rPr>
          <w:rFonts w:ascii="Garamond" w:hAnsi="Garamond"/>
        </w:rPr>
        <w:t>β</w:t>
      </w:r>
      <w:r w:rsidRPr="001E7605">
        <w:rPr>
          <w:rFonts w:ascii="Garamond" w:hAnsi="Garamond"/>
          <w:lang w:val="en-GB"/>
        </w:rPr>
        <w:t xml:space="preserve">1.3 pharmacology closer to K </w:t>
      </w:r>
      <w:r w:rsidRPr="001E7605">
        <w:rPr>
          <w:rFonts w:ascii="Garamond" w:hAnsi="Garamond"/>
          <w:vertAlign w:val="subscript"/>
          <w:lang w:val="en-GB"/>
        </w:rPr>
        <w:t>v</w:t>
      </w:r>
      <w:r w:rsidRPr="001E7605">
        <w:rPr>
          <w:rFonts w:ascii="Garamond" w:hAnsi="Garamond"/>
          <w:lang w:val="en-GB"/>
        </w:rPr>
        <w:t xml:space="preserve"> 1.5 channels: K </w:t>
      </w:r>
      <w:r w:rsidRPr="001E7605">
        <w:rPr>
          <w:rFonts w:ascii="Garamond" w:hAnsi="Garamond"/>
          <w:vertAlign w:val="subscript"/>
          <w:lang w:val="en-GB"/>
        </w:rPr>
        <w:t>v</w:t>
      </w:r>
      <w:r w:rsidRPr="001E7605">
        <w:rPr>
          <w:rFonts w:ascii="Garamond" w:hAnsi="Garamond"/>
          <w:lang w:val="en-GB"/>
        </w:rPr>
        <w:t xml:space="preserve"> 1.5 + K </w:t>
      </w:r>
      <w:r w:rsidRPr="001E7605">
        <w:rPr>
          <w:rFonts w:ascii="Garamond" w:hAnsi="Garamond"/>
          <w:vertAlign w:val="subscript"/>
          <w:lang w:val="en-GB"/>
        </w:rPr>
        <w:t>v</w:t>
      </w:r>
      <w:r w:rsidRPr="001E7605">
        <w:rPr>
          <w:rFonts w:ascii="Garamond" w:hAnsi="Garamond"/>
          <w:lang w:val="en-GB"/>
        </w:rPr>
        <w:t xml:space="preserve"> </w:t>
      </w:r>
      <w:r w:rsidRPr="001E7605">
        <w:rPr>
          <w:rFonts w:ascii="Garamond" w:hAnsi="Garamond"/>
        </w:rPr>
        <w:t>β</w:t>
      </w:r>
      <w:r w:rsidRPr="001E7605">
        <w:rPr>
          <w:rFonts w:ascii="Garamond" w:hAnsi="Garamond"/>
          <w:lang w:val="en-GB"/>
        </w:rPr>
        <w:t xml:space="preserve">1.3 pharmacology and PKC. </w:t>
      </w:r>
      <w:r w:rsidRPr="001E7605">
        <w:rPr>
          <w:rFonts w:ascii="Garamond" w:hAnsi="Garamond"/>
          <w:i/>
          <w:iCs/>
          <w:lang w:val="en-GB"/>
        </w:rPr>
        <w:t>Br. J. Pharmacol.</w:t>
      </w:r>
      <w:r w:rsidRPr="001E7605">
        <w:rPr>
          <w:rFonts w:ascii="Garamond" w:hAnsi="Garamond"/>
          <w:lang w:val="en-GB"/>
        </w:rPr>
        <w:t xml:space="preserve"> </w:t>
      </w:r>
      <w:r w:rsidRPr="001E7605">
        <w:rPr>
          <w:rFonts w:ascii="Garamond" w:hAnsi="Garamond"/>
          <w:b/>
          <w:bCs/>
          <w:lang w:val="en-GB"/>
        </w:rPr>
        <w:t>171</w:t>
      </w:r>
      <w:r w:rsidRPr="001E7605">
        <w:rPr>
          <w:rFonts w:ascii="Garamond" w:hAnsi="Garamond"/>
          <w:lang w:val="en-GB"/>
        </w:rPr>
        <w:t>, 4914–4926 (2014).</w:t>
      </w:r>
    </w:p>
    <w:p w14:paraId="07B41058"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21.</w:t>
      </w:r>
      <w:r w:rsidRPr="001E7605">
        <w:rPr>
          <w:rFonts w:ascii="Garamond" w:hAnsi="Garamond"/>
          <w:lang w:val="en-GB"/>
        </w:rPr>
        <w:tab/>
        <w:t xml:space="preserve">Fiset, C., Clark, R. B., Larsen, T. S. &amp; Giles, W. R. A rapidly activating sustained K </w:t>
      </w:r>
      <w:r w:rsidRPr="001E7605">
        <w:rPr>
          <w:rFonts w:ascii="Garamond" w:hAnsi="Garamond"/>
          <w:vertAlign w:val="superscript"/>
          <w:lang w:val="en-GB"/>
        </w:rPr>
        <w:t>+</w:t>
      </w:r>
      <w:r w:rsidRPr="001E7605">
        <w:rPr>
          <w:rFonts w:ascii="Garamond" w:hAnsi="Garamond"/>
          <w:lang w:val="en-GB"/>
        </w:rPr>
        <w:t xml:space="preserve"> current modulates repolarization and excitation-contraction coupling in adult mouse ventricle. </w:t>
      </w:r>
      <w:r w:rsidRPr="001E7605">
        <w:rPr>
          <w:rFonts w:ascii="Garamond" w:hAnsi="Garamond"/>
          <w:i/>
          <w:iCs/>
          <w:lang w:val="en-GB"/>
        </w:rPr>
        <w:t>J. Physiol.</w:t>
      </w:r>
      <w:r w:rsidRPr="001E7605">
        <w:rPr>
          <w:rFonts w:ascii="Garamond" w:hAnsi="Garamond"/>
          <w:lang w:val="en-GB"/>
        </w:rPr>
        <w:t xml:space="preserve"> </w:t>
      </w:r>
      <w:r w:rsidRPr="001E7605">
        <w:rPr>
          <w:rFonts w:ascii="Garamond" w:hAnsi="Garamond"/>
          <w:b/>
          <w:bCs/>
          <w:lang w:val="en-GB"/>
        </w:rPr>
        <w:t>504</w:t>
      </w:r>
      <w:r w:rsidRPr="001E7605">
        <w:rPr>
          <w:rFonts w:ascii="Garamond" w:hAnsi="Garamond"/>
          <w:lang w:val="en-GB"/>
        </w:rPr>
        <w:t>, 557–563 (1997).</w:t>
      </w:r>
    </w:p>
    <w:p w14:paraId="21E3C55B" w14:textId="77777777" w:rsidR="001369AC" w:rsidRPr="001E7605" w:rsidRDefault="001369AC" w:rsidP="004B2876">
      <w:pPr>
        <w:pStyle w:val="Bibliography"/>
        <w:spacing w:line="276" w:lineRule="auto"/>
        <w:rPr>
          <w:rFonts w:ascii="Garamond" w:hAnsi="Garamond"/>
          <w:lang w:val="en-GB"/>
        </w:rPr>
      </w:pPr>
      <w:r w:rsidRPr="001E7605">
        <w:rPr>
          <w:rFonts w:ascii="Garamond" w:hAnsi="Garamond"/>
          <w:lang w:val="en-GB"/>
        </w:rPr>
        <w:t>22.</w:t>
      </w:r>
      <w:r w:rsidRPr="001E7605">
        <w:rPr>
          <w:rFonts w:ascii="Garamond" w:hAnsi="Garamond"/>
          <w:lang w:val="en-GB"/>
        </w:rPr>
        <w:tab/>
        <w:t xml:space="preserve">Trépanier-Boulay, V., St-Michel, C., Tremblay, A. &amp; Fiset, C. Gender-Based Differences in Cardiac Repolarization in Mouse Ventricle. </w:t>
      </w:r>
      <w:r w:rsidRPr="001E7605">
        <w:rPr>
          <w:rFonts w:ascii="Garamond" w:hAnsi="Garamond"/>
          <w:i/>
          <w:iCs/>
          <w:lang w:val="en-GB"/>
        </w:rPr>
        <w:t>Circ. Res.</w:t>
      </w:r>
      <w:r w:rsidRPr="001E7605">
        <w:rPr>
          <w:rFonts w:ascii="Garamond" w:hAnsi="Garamond"/>
          <w:lang w:val="en-GB"/>
        </w:rPr>
        <w:t xml:space="preserve"> </w:t>
      </w:r>
      <w:r w:rsidRPr="001E7605">
        <w:rPr>
          <w:rFonts w:ascii="Garamond" w:hAnsi="Garamond"/>
          <w:b/>
          <w:bCs/>
          <w:lang w:val="en-GB"/>
        </w:rPr>
        <w:t>89</w:t>
      </w:r>
      <w:r w:rsidRPr="001E7605">
        <w:rPr>
          <w:rFonts w:ascii="Garamond" w:hAnsi="Garamond"/>
          <w:lang w:val="en-GB"/>
        </w:rPr>
        <w:t>, 437–444 (2001).</w:t>
      </w:r>
    </w:p>
    <w:p w14:paraId="7C0CA32A" w14:textId="23EFCD0B" w:rsidR="00FA218B" w:rsidRPr="001E7605" w:rsidRDefault="00F26BE2" w:rsidP="004B2876">
      <w:pPr>
        <w:pStyle w:val="TextoTesis"/>
      </w:pPr>
      <w:r w:rsidRPr="001E7605">
        <w:fldChar w:fldCharType="end"/>
      </w:r>
    </w:p>
    <w:p w14:paraId="4199F16B" w14:textId="77777777" w:rsidR="00FA218B" w:rsidRPr="001E7605" w:rsidRDefault="00FA218B">
      <w:pPr>
        <w:spacing w:after="160" w:line="259" w:lineRule="auto"/>
        <w:rPr>
          <w:rFonts w:ascii="Garamond" w:hAnsi="Garamond"/>
          <w:szCs w:val="22"/>
          <w:lang w:val="en-GB"/>
        </w:rPr>
      </w:pPr>
      <w:r w:rsidRPr="001E7605">
        <w:rPr>
          <w:lang w:val="en-GB"/>
        </w:rPr>
        <w:br w:type="page"/>
      </w:r>
    </w:p>
    <w:p w14:paraId="359655DD" w14:textId="47436BB3" w:rsidR="00FA218B" w:rsidRPr="001E7605" w:rsidRDefault="00FA218B" w:rsidP="00FF720A">
      <w:pPr>
        <w:pStyle w:val="Ttulo3Tesis"/>
      </w:pPr>
      <w:r w:rsidRPr="001E7605">
        <w:lastRenderedPageBreak/>
        <w:t>SUPPLEMENTARY FIGURE</w:t>
      </w:r>
      <w:r w:rsidR="00B01E42" w:rsidRPr="001E7605">
        <w:t>S</w:t>
      </w:r>
      <w:r w:rsidRPr="001E7605">
        <w:t xml:space="preserve"> </w:t>
      </w:r>
    </w:p>
    <w:p w14:paraId="3EC72DFC" w14:textId="03312A45" w:rsidR="00B01E42" w:rsidRPr="001E7605" w:rsidRDefault="00B01E42" w:rsidP="00FA218B">
      <w:pPr>
        <w:jc w:val="both"/>
        <w:rPr>
          <w:rFonts w:ascii="Calibri" w:eastAsia="Calibri" w:hAnsi="Calibri" w:cs="Times New Roman"/>
          <w:b/>
          <w:bCs/>
          <w:color w:val="000000" w:themeColor="text1"/>
          <w:lang w:val="en-US"/>
        </w:rPr>
      </w:pPr>
      <w:r w:rsidRPr="001E7605">
        <w:rPr>
          <w:noProof/>
        </w:rPr>
        <w:drawing>
          <wp:inline distT="0" distB="0" distL="0" distR="0" wp14:anchorId="237AA401" wp14:editId="49F554A0">
            <wp:extent cx="5731438" cy="5795159"/>
            <wp:effectExtent l="0" t="0" r="3175" b="0"/>
            <wp:docPr id="618628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882" b="25045"/>
                    <a:stretch>
                      <a:fillRect/>
                    </a:stretch>
                  </pic:blipFill>
                  <pic:spPr bwMode="auto">
                    <a:xfrm>
                      <a:off x="0" y="0"/>
                      <a:ext cx="5731510" cy="5795232"/>
                    </a:xfrm>
                    <a:prstGeom prst="rect">
                      <a:avLst/>
                    </a:prstGeom>
                    <a:noFill/>
                    <a:ln>
                      <a:noFill/>
                    </a:ln>
                    <a:extLst>
                      <a:ext uri="{53640926-AAD7-44D8-BBD7-CCE9431645EC}">
                        <a14:shadowObscured xmlns:a14="http://schemas.microsoft.com/office/drawing/2010/main"/>
                      </a:ext>
                    </a:extLst>
                  </pic:spPr>
                </pic:pic>
              </a:graphicData>
            </a:graphic>
          </wp:inline>
        </w:drawing>
      </w:r>
    </w:p>
    <w:p w14:paraId="1A0020DE" w14:textId="676F9580" w:rsidR="009464FE" w:rsidRPr="001E7605" w:rsidRDefault="009464FE" w:rsidP="00FA218B">
      <w:pPr>
        <w:jc w:val="both"/>
        <w:rPr>
          <w:rFonts w:ascii="Calibri" w:eastAsia="Calibri" w:hAnsi="Calibri" w:cs="Times New Roman"/>
          <w:color w:val="000000" w:themeColor="text1"/>
          <w:lang w:val="en-US"/>
        </w:rPr>
      </w:pPr>
      <w:r w:rsidRPr="001E7605">
        <w:rPr>
          <w:rFonts w:ascii="Calibri" w:eastAsia="Calibri" w:hAnsi="Calibri" w:cs="Times New Roman"/>
          <w:b/>
          <w:bCs/>
          <w:color w:val="000000" w:themeColor="text1"/>
          <w:lang w:val="en-US"/>
        </w:rPr>
        <w:t xml:space="preserve">Figure S1. Positive control for Lgi1-4 antibodies. </w:t>
      </w:r>
      <w:r w:rsidRPr="001E7605">
        <w:rPr>
          <w:rFonts w:ascii="Calibri" w:eastAsia="Calibri" w:hAnsi="Calibri" w:cs="Times New Roman"/>
          <w:color w:val="000000" w:themeColor="text1"/>
          <w:lang w:val="en-US"/>
        </w:rPr>
        <w:t>Representative images of the immunodetection of Lgi1-4 in brain slices from mice, demonstrating that Lgi1-4 antibodies are specific</w:t>
      </w:r>
      <w:r w:rsidR="005F5447" w:rsidRPr="001E7605">
        <w:rPr>
          <w:rFonts w:ascii="Calibri" w:eastAsia="Calibri" w:hAnsi="Calibri" w:cs="Times New Roman"/>
          <w:color w:val="000000" w:themeColor="text1"/>
          <w:lang w:val="en-US"/>
        </w:rPr>
        <w:t>, as shown by their distinct expression patter</w:t>
      </w:r>
      <w:r w:rsidR="00F657EE" w:rsidRPr="001E7605">
        <w:rPr>
          <w:rFonts w:ascii="Calibri" w:eastAsia="Calibri" w:hAnsi="Calibri" w:cs="Times New Roman"/>
          <w:color w:val="000000" w:themeColor="text1"/>
          <w:lang w:val="en-US"/>
        </w:rPr>
        <w:t>n</w:t>
      </w:r>
      <w:r w:rsidR="005F5447" w:rsidRPr="001E7605">
        <w:rPr>
          <w:rFonts w:ascii="Calibri" w:eastAsia="Calibri" w:hAnsi="Calibri" w:cs="Times New Roman"/>
          <w:color w:val="000000" w:themeColor="text1"/>
          <w:lang w:val="en-US"/>
        </w:rPr>
        <w:t>s</w:t>
      </w:r>
      <w:r w:rsidRPr="001E7605">
        <w:rPr>
          <w:rFonts w:ascii="Calibri" w:eastAsia="Calibri" w:hAnsi="Calibri" w:cs="Times New Roman"/>
          <w:color w:val="000000" w:themeColor="text1"/>
          <w:lang w:val="en-US"/>
        </w:rPr>
        <w:t xml:space="preserve">. </w:t>
      </w:r>
      <w:r w:rsidR="00177605" w:rsidRPr="00A945AB">
        <w:rPr>
          <w:rFonts w:cstheme="minorHAnsi"/>
          <w:color w:val="000000" w:themeColor="text1"/>
          <w:lang w:val="en-US"/>
        </w:rPr>
        <w:t>Scale bar: 1 mm</w:t>
      </w:r>
      <w:r w:rsidR="00C8539E" w:rsidRPr="001E7605">
        <w:rPr>
          <w:rFonts w:cstheme="minorHAnsi"/>
          <w:color w:val="000000" w:themeColor="text1"/>
          <w:lang w:val="en-US"/>
        </w:rPr>
        <w:t>.</w:t>
      </w:r>
    </w:p>
    <w:p w14:paraId="4380F9C4" w14:textId="77777777" w:rsidR="00B01E42" w:rsidRPr="001E7605" w:rsidRDefault="00B01E42">
      <w:pPr>
        <w:spacing w:after="160" w:line="259" w:lineRule="auto"/>
        <w:rPr>
          <w:rFonts w:ascii="Calibri" w:eastAsia="Calibri" w:hAnsi="Calibri" w:cs="Times New Roman"/>
          <w:b/>
          <w:bCs/>
          <w:color w:val="000000" w:themeColor="text1"/>
          <w:lang w:val="en-US"/>
        </w:rPr>
      </w:pPr>
      <w:r w:rsidRPr="001E7605">
        <w:rPr>
          <w:rFonts w:ascii="Calibri" w:eastAsia="Calibri" w:hAnsi="Calibri" w:cs="Times New Roman"/>
          <w:b/>
          <w:bCs/>
          <w:color w:val="000000" w:themeColor="text1"/>
          <w:lang w:val="en-US"/>
        </w:rPr>
        <w:br w:type="page"/>
      </w:r>
    </w:p>
    <w:p w14:paraId="066EE375" w14:textId="70187EA2" w:rsidR="00FA218B" w:rsidRPr="001E7605" w:rsidRDefault="00B01E42" w:rsidP="00FA218B">
      <w:pPr>
        <w:jc w:val="both"/>
        <w:rPr>
          <w:rFonts w:ascii="Calibri" w:eastAsia="Calibri" w:hAnsi="Calibri" w:cs="Times New Roman"/>
          <w:color w:val="000000" w:themeColor="text1"/>
          <w:lang w:val="en-GB"/>
        </w:rPr>
      </w:pPr>
      <w:r w:rsidRPr="001E7605">
        <w:rPr>
          <w:noProof/>
        </w:rPr>
        <w:lastRenderedPageBreak/>
        <w:drawing>
          <wp:inline distT="0" distB="0" distL="0" distR="0" wp14:anchorId="7664CC26" wp14:editId="4C99F914">
            <wp:extent cx="5731112" cy="1923596"/>
            <wp:effectExtent l="0" t="0" r="3175" b="635"/>
            <wp:docPr id="1405941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637" b="64102"/>
                    <a:stretch>
                      <a:fillRect/>
                    </a:stretch>
                  </pic:blipFill>
                  <pic:spPr bwMode="auto">
                    <a:xfrm>
                      <a:off x="0" y="0"/>
                      <a:ext cx="5731510" cy="1923729"/>
                    </a:xfrm>
                    <a:prstGeom prst="rect">
                      <a:avLst/>
                    </a:prstGeom>
                    <a:noFill/>
                    <a:ln>
                      <a:noFill/>
                    </a:ln>
                    <a:extLst>
                      <a:ext uri="{53640926-AAD7-44D8-BBD7-CCE9431645EC}">
                        <a14:shadowObscured xmlns:a14="http://schemas.microsoft.com/office/drawing/2010/main"/>
                      </a:ext>
                    </a:extLst>
                  </pic:spPr>
                </pic:pic>
              </a:graphicData>
            </a:graphic>
          </wp:inline>
        </w:drawing>
      </w:r>
      <w:r w:rsidR="00FA218B" w:rsidRPr="001E7605">
        <w:rPr>
          <w:rFonts w:ascii="Calibri" w:eastAsia="Calibri" w:hAnsi="Calibri" w:cs="Times New Roman"/>
          <w:b/>
          <w:bCs/>
          <w:color w:val="000000" w:themeColor="text1"/>
          <w:lang w:val="en-US"/>
        </w:rPr>
        <w:t>Figure S</w:t>
      </w:r>
      <w:r w:rsidR="009464FE" w:rsidRPr="001E7605">
        <w:rPr>
          <w:rFonts w:ascii="Calibri" w:eastAsia="Calibri" w:hAnsi="Calibri" w:cs="Times New Roman"/>
          <w:b/>
          <w:bCs/>
          <w:color w:val="000000" w:themeColor="text1"/>
          <w:lang w:val="en-US"/>
        </w:rPr>
        <w:t>2</w:t>
      </w:r>
      <w:r w:rsidR="00FA218B" w:rsidRPr="001E7605">
        <w:rPr>
          <w:rFonts w:ascii="Calibri" w:eastAsia="Calibri" w:hAnsi="Calibri" w:cs="Times New Roman"/>
          <w:b/>
          <w:bCs/>
          <w:color w:val="000000" w:themeColor="text1"/>
          <w:lang w:val="en-US"/>
        </w:rPr>
        <w:t xml:space="preserve">. </w:t>
      </w:r>
      <w:r w:rsidR="00FA218B" w:rsidRPr="001E7605">
        <w:rPr>
          <w:rFonts w:ascii="Calibri" w:eastAsia="Calibri" w:hAnsi="Calibri" w:cs="Times New Roman"/>
          <w:b/>
          <w:bCs/>
          <w:color w:val="000000" w:themeColor="text1"/>
          <w:lang w:val="en-GB"/>
        </w:rPr>
        <w:t>Interaction of Lgi3-4 with K</w:t>
      </w:r>
      <w:r w:rsidR="00FA218B" w:rsidRPr="001E7605">
        <w:rPr>
          <w:rFonts w:ascii="Calibri" w:eastAsia="Calibri" w:hAnsi="Calibri" w:cs="Times New Roman"/>
          <w:b/>
          <w:bCs/>
          <w:color w:val="000000" w:themeColor="text1"/>
          <w:vertAlign w:val="subscript"/>
          <w:lang w:val="en-GB"/>
        </w:rPr>
        <w:t>V</w:t>
      </w:r>
      <w:r w:rsidR="00FA218B" w:rsidRPr="001E7605">
        <w:rPr>
          <w:rFonts w:ascii="Calibri" w:eastAsia="Calibri" w:hAnsi="Calibri" w:cs="Times New Roman"/>
          <w:b/>
          <w:bCs/>
          <w:color w:val="000000" w:themeColor="text1"/>
          <w:lang w:val="en-GB"/>
        </w:rPr>
        <w:t xml:space="preserve">1.5 in the ER in heterologous systems. </w:t>
      </w:r>
      <w:r w:rsidR="00FA218B" w:rsidRPr="001E7605">
        <w:rPr>
          <w:rFonts w:ascii="Calibri" w:eastAsia="Calibri" w:hAnsi="Calibri" w:cs="Times New Roman"/>
          <w:color w:val="000000" w:themeColor="text1"/>
          <w:lang w:val="en-GB"/>
        </w:rPr>
        <w:t xml:space="preserve">Representative confocal images of COS-7 </w:t>
      </w:r>
      <w:proofErr w:type="spellStart"/>
      <w:r w:rsidR="00FA218B" w:rsidRPr="001E7605">
        <w:rPr>
          <w:rFonts w:ascii="Calibri" w:eastAsia="Calibri" w:hAnsi="Calibri" w:cs="Times New Roman"/>
          <w:color w:val="000000" w:themeColor="text1"/>
          <w:lang w:val="en-GB"/>
        </w:rPr>
        <w:t>cotransfected</w:t>
      </w:r>
      <w:proofErr w:type="spellEnd"/>
      <w:r w:rsidR="00FA218B" w:rsidRPr="001E7605">
        <w:rPr>
          <w:rFonts w:ascii="Calibri" w:eastAsia="Calibri" w:hAnsi="Calibri" w:cs="Times New Roman"/>
          <w:color w:val="000000" w:themeColor="text1"/>
          <w:lang w:val="en-GB"/>
        </w:rPr>
        <w:t xml:space="preserve"> with K</w:t>
      </w:r>
      <w:r w:rsidR="00FA218B" w:rsidRPr="001E7605">
        <w:rPr>
          <w:rFonts w:ascii="Calibri" w:eastAsia="Calibri" w:hAnsi="Calibri" w:cs="Times New Roman"/>
          <w:color w:val="000000" w:themeColor="text1"/>
          <w:vertAlign w:val="subscript"/>
          <w:lang w:val="en-GB"/>
        </w:rPr>
        <w:t>V</w:t>
      </w:r>
      <w:r w:rsidR="00FA218B" w:rsidRPr="001E7605">
        <w:rPr>
          <w:rFonts w:ascii="Calibri" w:eastAsia="Calibri" w:hAnsi="Calibri" w:cs="Times New Roman"/>
          <w:color w:val="000000" w:themeColor="text1"/>
          <w:lang w:val="en-GB"/>
        </w:rPr>
        <w:t xml:space="preserve">1.5 and Lgi3 (upper panels) or Lgi4 (lower panels) and </w:t>
      </w:r>
      <w:r w:rsidR="009248A6" w:rsidRPr="001E7605">
        <w:rPr>
          <w:rFonts w:ascii="Calibri" w:eastAsia="Calibri" w:hAnsi="Calibri" w:cs="Times New Roman"/>
          <w:color w:val="000000" w:themeColor="text1"/>
          <w:lang w:val="en-GB"/>
        </w:rPr>
        <w:t>the</w:t>
      </w:r>
      <w:r w:rsidR="00FA218B" w:rsidRPr="001E7605">
        <w:rPr>
          <w:rFonts w:ascii="Calibri" w:eastAsia="Calibri" w:hAnsi="Calibri" w:cs="Times New Roman"/>
          <w:color w:val="000000" w:themeColor="text1"/>
          <w:lang w:val="en-GB"/>
        </w:rPr>
        <w:t xml:space="preserve"> ER marker</w:t>
      </w:r>
      <w:r w:rsidR="00177605" w:rsidRPr="001E7605">
        <w:rPr>
          <w:rFonts w:ascii="Calibri" w:eastAsia="Calibri" w:hAnsi="Calibri" w:cs="Times New Roman"/>
          <w:color w:val="000000" w:themeColor="text1"/>
          <w:lang w:val="en-GB"/>
        </w:rPr>
        <w:t xml:space="preserve"> </w:t>
      </w:r>
      <w:proofErr w:type="spellStart"/>
      <w:r w:rsidR="00177605" w:rsidRPr="00A945AB">
        <w:rPr>
          <w:rFonts w:ascii="Calibri" w:eastAsia="Calibri" w:hAnsi="Calibri" w:cs="Times New Roman"/>
          <w:color w:val="000000" w:themeColor="text1"/>
          <w:lang w:val="en-GB"/>
        </w:rPr>
        <w:t>DsRed</w:t>
      </w:r>
      <w:proofErr w:type="spellEnd"/>
      <w:r w:rsidR="00FA218B" w:rsidRPr="00A945AB">
        <w:rPr>
          <w:rFonts w:ascii="Calibri" w:eastAsia="Calibri" w:hAnsi="Calibri" w:cs="Times New Roman"/>
          <w:color w:val="000000" w:themeColor="text1"/>
          <w:lang w:val="en-GB"/>
        </w:rPr>
        <w:t xml:space="preserve">. </w:t>
      </w:r>
      <w:r w:rsidR="00177605" w:rsidRPr="00A945AB">
        <w:rPr>
          <w:rFonts w:cstheme="minorHAnsi"/>
          <w:color w:val="000000" w:themeColor="text1"/>
          <w:lang w:val="en-US"/>
        </w:rPr>
        <w:t>Scale bar: 15 µm</w:t>
      </w:r>
      <w:r w:rsidR="00C8539E" w:rsidRPr="001E7605">
        <w:rPr>
          <w:rFonts w:cstheme="minorHAnsi"/>
          <w:color w:val="000000" w:themeColor="text1"/>
          <w:lang w:val="en-US"/>
        </w:rPr>
        <w:t>.</w:t>
      </w:r>
    </w:p>
    <w:p w14:paraId="51D24EF3" w14:textId="77777777" w:rsidR="00B01E42" w:rsidRPr="00A945AB" w:rsidRDefault="00B01E42">
      <w:pPr>
        <w:spacing w:after="160" w:line="259" w:lineRule="auto"/>
        <w:rPr>
          <w:rFonts w:ascii="Calibri" w:eastAsia="Calibri" w:hAnsi="Calibri" w:cs="Times New Roman"/>
          <w:b/>
          <w:bCs/>
          <w:color w:val="000000" w:themeColor="text1"/>
          <w:lang w:val="en-US"/>
        </w:rPr>
      </w:pPr>
      <w:r w:rsidRPr="00A945AB">
        <w:rPr>
          <w:rFonts w:ascii="Calibri" w:eastAsia="Calibri" w:hAnsi="Calibri" w:cs="Times New Roman"/>
          <w:b/>
          <w:bCs/>
          <w:color w:val="000000" w:themeColor="text1"/>
          <w:lang w:val="en-US"/>
        </w:rPr>
        <w:br w:type="page"/>
      </w:r>
    </w:p>
    <w:p w14:paraId="02A7AAF7" w14:textId="092B26E5" w:rsidR="005C6436" w:rsidRPr="00A945AB" w:rsidRDefault="00F57BEE" w:rsidP="005C6436">
      <w:pPr>
        <w:jc w:val="both"/>
        <w:rPr>
          <w:rFonts w:ascii="Calibri" w:eastAsia="Calibri" w:hAnsi="Calibri" w:cs="Times New Roman"/>
          <w:b/>
          <w:bCs/>
          <w:color w:val="000000" w:themeColor="text1"/>
          <w:lang w:val="en-US"/>
        </w:rPr>
      </w:pPr>
      <w:r w:rsidRPr="001E7605">
        <w:rPr>
          <w:noProof/>
        </w:rPr>
        <w:lastRenderedPageBreak/>
        <w:drawing>
          <wp:inline distT="0" distB="0" distL="0" distR="0" wp14:anchorId="3F28D6A5" wp14:editId="13F90FFC">
            <wp:extent cx="5731370" cy="6460003"/>
            <wp:effectExtent l="0" t="0" r="3175" b="0"/>
            <wp:docPr id="7783265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24" b="14563"/>
                    <a:stretch>
                      <a:fillRect/>
                    </a:stretch>
                  </pic:blipFill>
                  <pic:spPr bwMode="auto">
                    <a:xfrm>
                      <a:off x="0" y="0"/>
                      <a:ext cx="5731510" cy="6460161"/>
                    </a:xfrm>
                    <a:prstGeom prst="rect">
                      <a:avLst/>
                    </a:prstGeom>
                    <a:noFill/>
                    <a:ln>
                      <a:noFill/>
                    </a:ln>
                    <a:extLst>
                      <a:ext uri="{53640926-AAD7-44D8-BBD7-CCE9431645EC}">
                        <a14:shadowObscured xmlns:a14="http://schemas.microsoft.com/office/drawing/2010/main"/>
                      </a:ext>
                    </a:extLst>
                  </pic:spPr>
                </pic:pic>
              </a:graphicData>
            </a:graphic>
          </wp:inline>
        </w:drawing>
      </w:r>
      <w:r w:rsidR="005C6436" w:rsidRPr="00A945AB">
        <w:rPr>
          <w:rFonts w:ascii="Calibri" w:eastAsia="Calibri" w:hAnsi="Calibri" w:cs="Times New Roman"/>
          <w:b/>
          <w:bCs/>
          <w:color w:val="000000" w:themeColor="text1"/>
          <w:lang w:val="en-US"/>
        </w:rPr>
        <w:t>Figure S3. Lgi4 is not expressed in mice atria or ventricle.</w:t>
      </w:r>
      <w:r w:rsidR="005C6436" w:rsidRPr="00A945AB">
        <w:rPr>
          <w:rFonts w:ascii="Calibri" w:eastAsia="Calibri" w:hAnsi="Calibri" w:cs="Times New Roman"/>
          <w:color w:val="000000" w:themeColor="text1"/>
          <w:lang w:val="en-US"/>
        </w:rPr>
        <w:t xml:space="preserve"> </w:t>
      </w:r>
      <w:r w:rsidR="005C6436" w:rsidRPr="00A945AB">
        <w:rPr>
          <w:rFonts w:ascii="Calibri" w:eastAsia="Calibri" w:hAnsi="Calibri" w:cs="Times New Roman"/>
          <w:b/>
          <w:bCs/>
          <w:color w:val="000000" w:themeColor="text1"/>
          <w:lang w:val="en-US"/>
        </w:rPr>
        <w:t>A)</w:t>
      </w:r>
      <w:r w:rsidR="005C6436" w:rsidRPr="00A945AB">
        <w:rPr>
          <w:rFonts w:ascii="Calibri" w:eastAsia="Calibri" w:hAnsi="Calibri" w:cs="Times New Roman"/>
          <w:color w:val="000000" w:themeColor="text1"/>
          <w:lang w:val="en-US"/>
        </w:rPr>
        <w:t xml:space="preserve"> Representative confocal images of Lgi3 and Lgi4 immunostaining in atria and ventricle</w:t>
      </w:r>
      <w:r w:rsidR="00C8539E" w:rsidRPr="00A945AB">
        <w:rPr>
          <w:rFonts w:ascii="Calibri" w:eastAsia="Calibri" w:hAnsi="Calibri" w:cs="Times New Roman"/>
          <w:color w:val="000000" w:themeColor="text1"/>
          <w:lang w:val="en-US"/>
        </w:rPr>
        <w:t xml:space="preserve">. </w:t>
      </w:r>
      <w:r w:rsidR="00C8539E" w:rsidRPr="00A945AB">
        <w:rPr>
          <w:rFonts w:cstheme="minorHAnsi"/>
          <w:color w:val="000000" w:themeColor="text1"/>
          <w:lang w:val="en-US"/>
        </w:rPr>
        <w:t>Scale bar: 40 µm</w:t>
      </w:r>
      <w:r w:rsidR="00C8539E" w:rsidRPr="001E7605">
        <w:rPr>
          <w:rFonts w:cstheme="minorHAnsi"/>
          <w:color w:val="000000" w:themeColor="text1"/>
          <w:lang w:val="en-US"/>
        </w:rPr>
        <w:t>.</w:t>
      </w:r>
      <w:r w:rsidR="005C6436" w:rsidRPr="00A945AB">
        <w:rPr>
          <w:rFonts w:ascii="Calibri" w:eastAsia="Calibri" w:hAnsi="Calibri" w:cs="Times New Roman"/>
          <w:color w:val="000000" w:themeColor="text1"/>
          <w:lang w:val="en-US"/>
        </w:rPr>
        <w:t xml:space="preserve"> </w:t>
      </w:r>
      <w:r w:rsidR="005C6436" w:rsidRPr="00A945AB">
        <w:rPr>
          <w:rFonts w:ascii="Calibri" w:eastAsia="Calibri" w:hAnsi="Calibri" w:cs="Times New Roman"/>
          <w:b/>
          <w:bCs/>
          <w:color w:val="000000" w:themeColor="text1"/>
          <w:lang w:val="en-US"/>
        </w:rPr>
        <w:t xml:space="preserve">B) </w:t>
      </w:r>
      <w:r w:rsidR="005C6436" w:rsidRPr="00A945AB">
        <w:rPr>
          <w:rFonts w:ascii="Calibri" w:eastAsia="Calibri" w:hAnsi="Calibri" w:cs="Times New Roman"/>
          <w:color w:val="000000" w:themeColor="text1"/>
          <w:lang w:val="en-US"/>
        </w:rPr>
        <w:t xml:space="preserve">Representative images of the immunodetection of Lgi3 and Lgi4 in permeabilized non-infected mice ventricular CMs. Note that Lgi4 is not expressed in atria nor ventricle (N=3, n=30). </w:t>
      </w:r>
      <w:r w:rsidR="00C8539E" w:rsidRPr="00A945AB">
        <w:rPr>
          <w:rFonts w:cstheme="minorHAnsi"/>
          <w:color w:val="000000" w:themeColor="text1"/>
          <w:lang w:val="en-US"/>
        </w:rPr>
        <w:t>Scale bar: 20 µm</w:t>
      </w:r>
      <w:r w:rsidR="00C8539E" w:rsidRPr="001E7605">
        <w:rPr>
          <w:rFonts w:cstheme="minorHAnsi"/>
          <w:color w:val="000000" w:themeColor="text1"/>
          <w:lang w:val="en-US"/>
        </w:rPr>
        <w:t xml:space="preserve">. </w:t>
      </w:r>
      <w:r w:rsidR="005C6436" w:rsidRPr="00A945AB">
        <w:rPr>
          <w:rFonts w:ascii="Calibri" w:eastAsia="Calibri" w:hAnsi="Calibri" w:cs="Times New Roman"/>
          <w:b/>
          <w:bCs/>
          <w:color w:val="000000" w:themeColor="text1"/>
          <w:lang w:val="en-US"/>
        </w:rPr>
        <w:t>C)</w:t>
      </w:r>
      <w:r w:rsidR="005C6436" w:rsidRPr="00A945AB">
        <w:rPr>
          <w:rFonts w:ascii="Calibri" w:eastAsia="Calibri" w:hAnsi="Calibri" w:cs="Times New Roman"/>
          <w:color w:val="000000" w:themeColor="text1"/>
          <w:lang w:val="en-US"/>
        </w:rPr>
        <w:t xml:space="preserve"> Schematic representation of the generation of the mice model expressing Lgi4 in cardiac myocytes. AAV9 carrying Lgi4 or empty AAV-vector were introduced through the femoral vein of the mice, being transduced only in cardiomyocytes due to its </w:t>
      </w:r>
      <w:proofErr w:type="spellStart"/>
      <w:r w:rsidR="005C6436" w:rsidRPr="00A945AB">
        <w:rPr>
          <w:rFonts w:ascii="Calibri" w:eastAsia="Calibri" w:hAnsi="Calibri" w:cs="Times New Roman"/>
          <w:color w:val="000000" w:themeColor="text1"/>
          <w:lang w:val="en-US"/>
        </w:rPr>
        <w:t>cTnT</w:t>
      </w:r>
      <w:proofErr w:type="spellEnd"/>
      <w:r w:rsidR="005C6436" w:rsidRPr="00A945AB">
        <w:rPr>
          <w:rFonts w:ascii="Calibri" w:eastAsia="Calibri" w:hAnsi="Calibri" w:cs="Times New Roman"/>
          <w:color w:val="000000" w:themeColor="text1"/>
          <w:lang w:val="en-US"/>
        </w:rPr>
        <w:t xml:space="preserve"> promoter. Scheme created with </w:t>
      </w:r>
      <w:proofErr w:type="spellStart"/>
      <w:r w:rsidR="005C6436" w:rsidRPr="00A945AB">
        <w:rPr>
          <w:rFonts w:ascii="Calibri" w:eastAsia="Calibri" w:hAnsi="Calibri" w:cs="Times New Roman"/>
          <w:color w:val="000000" w:themeColor="text1"/>
          <w:lang w:val="en-US"/>
        </w:rPr>
        <w:t>BioRender</w:t>
      </w:r>
      <w:proofErr w:type="spellEnd"/>
      <w:r w:rsidR="005C6436" w:rsidRPr="00A945AB">
        <w:rPr>
          <w:rFonts w:ascii="Calibri" w:eastAsia="Calibri" w:hAnsi="Calibri" w:cs="Times New Roman"/>
          <w:color w:val="000000" w:themeColor="text1"/>
          <w:lang w:val="en-US"/>
        </w:rPr>
        <w:t>.</w:t>
      </w:r>
    </w:p>
    <w:p w14:paraId="21886205" w14:textId="77777777" w:rsidR="00F57BEE" w:rsidRPr="00A945AB" w:rsidRDefault="00F57BEE">
      <w:pPr>
        <w:spacing w:after="160" w:line="259" w:lineRule="auto"/>
        <w:rPr>
          <w:rFonts w:ascii="Calibri" w:eastAsia="Calibri" w:hAnsi="Calibri" w:cs="Times New Roman"/>
          <w:b/>
          <w:bCs/>
          <w:color w:val="000000" w:themeColor="text1"/>
          <w:lang w:val="en-US"/>
        </w:rPr>
      </w:pPr>
      <w:r w:rsidRPr="00A945AB">
        <w:rPr>
          <w:rFonts w:ascii="Calibri" w:eastAsia="Calibri" w:hAnsi="Calibri" w:cs="Times New Roman"/>
          <w:b/>
          <w:bCs/>
          <w:color w:val="000000" w:themeColor="text1"/>
          <w:lang w:val="en-US"/>
        </w:rPr>
        <w:br w:type="page"/>
      </w:r>
    </w:p>
    <w:p w14:paraId="75567A67" w14:textId="051F1A45" w:rsidR="005C6436" w:rsidRPr="00A945AB" w:rsidRDefault="00F57BEE" w:rsidP="005C6436">
      <w:pPr>
        <w:jc w:val="both"/>
        <w:rPr>
          <w:rFonts w:ascii="Calibri" w:eastAsia="Calibri" w:hAnsi="Calibri" w:cs="Times New Roman"/>
          <w:color w:val="000000" w:themeColor="text1"/>
          <w:lang w:val="en-US"/>
        </w:rPr>
      </w:pPr>
      <w:r w:rsidRPr="001E7605">
        <w:rPr>
          <w:noProof/>
        </w:rPr>
        <w:lastRenderedPageBreak/>
        <w:drawing>
          <wp:inline distT="0" distB="0" distL="0" distR="0" wp14:anchorId="633ADEF9" wp14:editId="03E3AE3E">
            <wp:extent cx="5730094" cy="1519423"/>
            <wp:effectExtent l="0" t="0" r="4445" b="5080"/>
            <wp:docPr id="1674979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922" b="69701"/>
                    <a:stretch>
                      <a:fillRect/>
                    </a:stretch>
                  </pic:blipFill>
                  <pic:spPr bwMode="auto">
                    <a:xfrm>
                      <a:off x="0" y="0"/>
                      <a:ext cx="5731510" cy="1519798"/>
                    </a:xfrm>
                    <a:prstGeom prst="rect">
                      <a:avLst/>
                    </a:prstGeom>
                    <a:noFill/>
                    <a:ln>
                      <a:noFill/>
                    </a:ln>
                    <a:extLst>
                      <a:ext uri="{53640926-AAD7-44D8-BBD7-CCE9431645EC}">
                        <a14:shadowObscured xmlns:a14="http://schemas.microsoft.com/office/drawing/2010/main"/>
                      </a:ext>
                    </a:extLst>
                  </pic:spPr>
                </pic:pic>
              </a:graphicData>
            </a:graphic>
          </wp:inline>
        </w:drawing>
      </w:r>
      <w:r w:rsidR="005C6436" w:rsidRPr="00A945AB">
        <w:rPr>
          <w:rFonts w:ascii="Calibri" w:eastAsia="Calibri" w:hAnsi="Calibri" w:cs="Times New Roman"/>
          <w:b/>
          <w:bCs/>
          <w:color w:val="000000" w:themeColor="text1"/>
          <w:lang w:val="en-US"/>
        </w:rPr>
        <w:t xml:space="preserve">Figure S4. Lgi3 expression is not altered in cardiomyocytes from Lgi4-cardiac expressing mice. </w:t>
      </w:r>
      <w:r w:rsidR="005C6436" w:rsidRPr="00A945AB">
        <w:rPr>
          <w:rFonts w:ascii="Calibri" w:eastAsia="Calibri" w:hAnsi="Calibri" w:cs="Times New Roman"/>
          <w:color w:val="000000" w:themeColor="text1"/>
          <w:lang w:val="en-US"/>
        </w:rPr>
        <w:t>Representative immunoblots of anti-Lgi3 and anti-Vinculin</w:t>
      </w:r>
      <w:r w:rsidR="005C6436" w:rsidRPr="00A945AB">
        <w:rPr>
          <w:color w:val="000000" w:themeColor="text1"/>
          <w:lang w:val="en-GB"/>
        </w:rPr>
        <w:t xml:space="preserve"> </w:t>
      </w:r>
      <w:r w:rsidR="005C6436" w:rsidRPr="00A945AB">
        <w:rPr>
          <w:rFonts w:ascii="Calibri" w:eastAsia="Calibri" w:hAnsi="Calibri" w:cs="Times New Roman"/>
          <w:color w:val="000000" w:themeColor="text1"/>
          <w:lang w:val="en-US"/>
        </w:rPr>
        <w:t>in ventricular tissue from Control and Lgi4-cardiac expressing mice. Quantification of the relative protein expression of Lgi3 normalized by vinculin expression is shown at the right.</w:t>
      </w:r>
    </w:p>
    <w:p w14:paraId="77B2CFDA" w14:textId="77777777" w:rsidR="00F57BEE" w:rsidRPr="00A945AB" w:rsidRDefault="00F57BEE">
      <w:pPr>
        <w:spacing w:after="160" w:line="259" w:lineRule="auto"/>
        <w:rPr>
          <w:rFonts w:ascii="Calibri" w:eastAsia="Calibri" w:hAnsi="Calibri" w:cs="Times New Roman"/>
          <w:b/>
          <w:bCs/>
          <w:color w:val="000000" w:themeColor="text1"/>
          <w:lang w:val="en-US"/>
        </w:rPr>
      </w:pPr>
      <w:r w:rsidRPr="00A945AB">
        <w:rPr>
          <w:rFonts w:ascii="Calibri" w:eastAsia="Calibri" w:hAnsi="Calibri" w:cs="Times New Roman"/>
          <w:b/>
          <w:bCs/>
          <w:color w:val="000000" w:themeColor="text1"/>
          <w:lang w:val="en-US"/>
        </w:rPr>
        <w:br w:type="page"/>
      </w:r>
    </w:p>
    <w:p w14:paraId="11A2B5DD" w14:textId="59F3CDE9" w:rsidR="005C6436" w:rsidRPr="00A945AB" w:rsidRDefault="00F57BEE" w:rsidP="005C6436">
      <w:pPr>
        <w:jc w:val="both"/>
        <w:rPr>
          <w:rFonts w:ascii="Calibri" w:eastAsia="Calibri" w:hAnsi="Calibri" w:cs="Times New Roman"/>
          <w:color w:val="000000" w:themeColor="text1"/>
          <w:lang w:val="en-US"/>
        </w:rPr>
      </w:pPr>
      <w:r w:rsidRPr="001E7605">
        <w:rPr>
          <w:noProof/>
        </w:rPr>
        <w:lastRenderedPageBreak/>
        <w:drawing>
          <wp:inline distT="0" distB="0" distL="0" distR="0" wp14:anchorId="6932A599" wp14:editId="47860BC4">
            <wp:extent cx="5731303" cy="4821382"/>
            <wp:effectExtent l="0" t="0" r="3175" b="0"/>
            <wp:docPr id="9175068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461" b="35238"/>
                    <a:stretch>
                      <a:fillRect/>
                    </a:stretch>
                  </pic:blipFill>
                  <pic:spPr bwMode="auto">
                    <a:xfrm>
                      <a:off x="0" y="0"/>
                      <a:ext cx="5731510" cy="4821557"/>
                    </a:xfrm>
                    <a:prstGeom prst="rect">
                      <a:avLst/>
                    </a:prstGeom>
                    <a:noFill/>
                    <a:ln>
                      <a:noFill/>
                    </a:ln>
                    <a:extLst>
                      <a:ext uri="{53640926-AAD7-44D8-BBD7-CCE9431645EC}">
                        <a14:shadowObscured xmlns:a14="http://schemas.microsoft.com/office/drawing/2010/main"/>
                      </a:ext>
                    </a:extLst>
                  </pic:spPr>
                </pic:pic>
              </a:graphicData>
            </a:graphic>
          </wp:inline>
        </w:drawing>
      </w:r>
      <w:r w:rsidR="005C6436" w:rsidRPr="00A945AB">
        <w:rPr>
          <w:rFonts w:ascii="Calibri" w:eastAsia="Calibri" w:hAnsi="Calibri" w:cs="Times New Roman"/>
          <w:b/>
          <w:bCs/>
          <w:color w:val="000000" w:themeColor="text1"/>
          <w:lang w:val="en-US"/>
        </w:rPr>
        <w:t xml:space="preserve">Figure S5. Electrophysiological parameters of the cardiac AP in atrial and ventricular cardiomyocytes stimulated at 1-10 Hz. </w:t>
      </w:r>
      <w:r w:rsidR="005C6436" w:rsidRPr="00A945AB">
        <w:rPr>
          <w:rFonts w:ascii="Calibri" w:eastAsia="Calibri" w:hAnsi="Calibri" w:cs="Times New Roman"/>
          <w:color w:val="000000" w:themeColor="text1"/>
          <w:lang w:val="en-US"/>
        </w:rPr>
        <w:t>In the upper graphs, the maximal amplitude of the AP (Amplitude) and the maximum upstroke velocity (</w:t>
      </w:r>
      <w:proofErr w:type="spellStart"/>
      <w:r w:rsidR="005C6436" w:rsidRPr="00A945AB">
        <w:rPr>
          <w:rFonts w:ascii="Calibri" w:eastAsia="Calibri" w:hAnsi="Calibri" w:cs="Times New Roman"/>
          <w:color w:val="000000" w:themeColor="text1"/>
          <w:lang w:val="en-US"/>
        </w:rPr>
        <w:t>dV</w:t>
      </w:r>
      <w:proofErr w:type="spellEnd"/>
      <w:r w:rsidR="005C6436" w:rsidRPr="00A945AB">
        <w:rPr>
          <w:rFonts w:ascii="Calibri" w:eastAsia="Calibri" w:hAnsi="Calibri" w:cs="Times New Roman"/>
          <w:color w:val="000000" w:themeColor="text1"/>
          <w:lang w:val="en-US"/>
        </w:rPr>
        <w:t>/</w:t>
      </w:r>
      <w:proofErr w:type="spellStart"/>
      <w:r w:rsidR="005C6436" w:rsidRPr="00A945AB">
        <w:rPr>
          <w:rFonts w:ascii="Calibri" w:eastAsia="Calibri" w:hAnsi="Calibri" w:cs="Times New Roman"/>
          <w:color w:val="000000" w:themeColor="text1"/>
          <w:lang w:val="en-US"/>
        </w:rPr>
        <w:t>dt</w:t>
      </w:r>
      <w:r w:rsidR="005C6436" w:rsidRPr="00A945AB">
        <w:rPr>
          <w:rFonts w:ascii="Calibri" w:eastAsia="Calibri" w:hAnsi="Calibri" w:cs="Times New Roman"/>
          <w:color w:val="000000" w:themeColor="text1"/>
          <w:vertAlign w:val="subscript"/>
          <w:lang w:val="en-US"/>
        </w:rPr>
        <w:t>max</w:t>
      </w:r>
      <w:proofErr w:type="spellEnd"/>
      <w:r w:rsidR="005C6436" w:rsidRPr="00A945AB">
        <w:rPr>
          <w:rFonts w:ascii="Calibri" w:eastAsia="Calibri" w:hAnsi="Calibri" w:cs="Times New Roman"/>
          <w:color w:val="000000" w:themeColor="text1"/>
          <w:lang w:val="en-US"/>
        </w:rPr>
        <w:t>) are represented at different frequencies of stimulation in atrial (</w:t>
      </w:r>
      <w:r w:rsidR="005C6436" w:rsidRPr="00A945AB">
        <w:rPr>
          <w:rFonts w:ascii="Calibri" w:eastAsia="Calibri" w:hAnsi="Calibri" w:cs="Times New Roman"/>
          <w:b/>
          <w:bCs/>
          <w:color w:val="000000" w:themeColor="text1"/>
          <w:lang w:val="en-US"/>
        </w:rPr>
        <w:t>A</w:t>
      </w:r>
      <w:r w:rsidR="005C6436" w:rsidRPr="00A945AB">
        <w:rPr>
          <w:rFonts w:ascii="Calibri" w:eastAsia="Calibri" w:hAnsi="Calibri" w:cs="Times New Roman"/>
          <w:color w:val="000000" w:themeColor="text1"/>
          <w:lang w:val="en-US"/>
        </w:rPr>
        <w:t>) and ventric</w:t>
      </w:r>
      <w:r w:rsidR="00303E52" w:rsidRPr="00A945AB">
        <w:rPr>
          <w:rFonts w:ascii="Calibri" w:eastAsia="Calibri" w:hAnsi="Calibri" w:cs="Times New Roman"/>
          <w:color w:val="000000" w:themeColor="text1"/>
          <w:lang w:val="en-US"/>
        </w:rPr>
        <w:t>u</w:t>
      </w:r>
      <w:r w:rsidR="005C6436" w:rsidRPr="00A945AB">
        <w:rPr>
          <w:rFonts w:ascii="Calibri" w:eastAsia="Calibri" w:hAnsi="Calibri" w:cs="Times New Roman"/>
          <w:color w:val="000000" w:themeColor="text1"/>
          <w:lang w:val="en-US"/>
        </w:rPr>
        <w:t>lar (</w:t>
      </w:r>
      <w:r w:rsidR="005C6436" w:rsidRPr="00A945AB">
        <w:rPr>
          <w:rFonts w:ascii="Calibri" w:eastAsia="Calibri" w:hAnsi="Calibri" w:cs="Times New Roman"/>
          <w:b/>
          <w:bCs/>
          <w:color w:val="000000" w:themeColor="text1"/>
          <w:lang w:val="en-US"/>
        </w:rPr>
        <w:t>B</w:t>
      </w:r>
      <w:r w:rsidR="005C6436" w:rsidRPr="00A945AB">
        <w:rPr>
          <w:rFonts w:ascii="Calibri" w:eastAsia="Calibri" w:hAnsi="Calibri" w:cs="Times New Roman"/>
          <w:color w:val="000000" w:themeColor="text1"/>
          <w:lang w:val="en-US"/>
        </w:rPr>
        <w:t>) cardiomyocytes. In the lower graphs, APD measured at the 20, 50, 70 and 90% of repolarization is represented in CMs from the atria (</w:t>
      </w:r>
      <w:r w:rsidR="005C6436" w:rsidRPr="00A945AB">
        <w:rPr>
          <w:rFonts w:ascii="Calibri" w:eastAsia="Calibri" w:hAnsi="Calibri" w:cs="Times New Roman"/>
          <w:b/>
          <w:bCs/>
          <w:color w:val="000000" w:themeColor="text1"/>
          <w:lang w:val="en-US"/>
        </w:rPr>
        <w:t>A</w:t>
      </w:r>
      <w:r w:rsidR="005C6436" w:rsidRPr="00A945AB">
        <w:rPr>
          <w:rFonts w:ascii="Calibri" w:eastAsia="Calibri" w:hAnsi="Calibri" w:cs="Times New Roman"/>
          <w:color w:val="000000" w:themeColor="text1"/>
          <w:lang w:val="en-US"/>
        </w:rPr>
        <w:t>) and ventricle (</w:t>
      </w:r>
      <w:r w:rsidR="005C6436" w:rsidRPr="00A945AB">
        <w:rPr>
          <w:rFonts w:ascii="Calibri" w:eastAsia="Calibri" w:hAnsi="Calibri" w:cs="Times New Roman"/>
          <w:b/>
          <w:bCs/>
          <w:color w:val="000000" w:themeColor="text1"/>
          <w:lang w:val="en-US"/>
        </w:rPr>
        <w:t>B</w:t>
      </w:r>
      <w:r w:rsidR="005C6436" w:rsidRPr="00A945AB">
        <w:rPr>
          <w:rFonts w:ascii="Calibri" w:eastAsia="Calibri" w:hAnsi="Calibri" w:cs="Times New Roman"/>
          <w:color w:val="000000" w:themeColor="text1"/>
          <w:lang w:val="en-US"/>
        </w:rPr>
        <w:t>) stimulated at frequencies from 1 to 10 Hz. Note that APD</w:t>
      </w:r>
      <w:r w:rsidR="005C6436" w:rsidRPr="00A945AB">
        <w:rPr>
          <w:rFonts w:ascii="Calibri" w:eastAsia="Calibri" w:hAnsi="Calibri" w:cs="Times New Roman"/>
          <w:color w:val="000000" w:themeColor="text1"/>
          <w:vertAlign w:val="subscript"/>
          <w:lang w:val="en-US"/>
        </w:rPr>
        <w:t>20</w:t>
      </w:r>
      <w:r w:rsidR="005C6436" w:rsidRPr="00A945AB">
        <w:rPr>
          <w:rFonts w:ascii="Calibri" w:eastAsia="Calibri" w:hAnsi="Calibri" w:cs="Times New Roman"/>
          <w:color w:val="000000" w:themeColor="text1"/>
          <w:lang w:val="en-US"/>
        </w:rPr>
        <w:t xml:space="preserve"> to APD</w:t>
      </w:r>
      <w:r w:rsidR="005C6436" w:rsidRPr="00A945AB">
        <w:rPr>
          <w:rFonts w:ascii="Calibri" w:eastAsia="Calibri" w:hAnsi="Calibri" w:cs="Times New Roman"/>
          <w:color w:val="000000" w:themeColor="text1"/>
          <w:vertAlign w:val="subscript"/>
          <w:lang w:val="en-US"/>
        </w:rPr>
        <w:t>70</w:t>
      </w:r>
      <w:r w:rsidR="005C6436" w:rsidRPr="00A945AB">
        <w:rPr>
          <w:rFonts w:ascii="Calibri" w:eastAsia="Calibri" w:hAnsi="Calibri" w:cs="Times New Roman"/>
          <w:color w:val="000000" w:themeColor="text1"/>
          <w:lang w:val="en-US"/>
        </w:rPr>
        <w:t xml:space="preserve"> are longer in ventricular CMs from Lgi4 mice than in Control ones, especially at higher stimulating frequencies. In atrial CMs from Lgi4-mice, the AP is dramatically prolonged at all the stimulating frequencies.</w:t>
      </w:r>
    </w:p>
    <w:p w14:paraId="0A3D9BA5" w14:textId="77777777" w:rsidR="00F57BEE" w:rsidRPr="00A945AB" w:rsidRDefault="00F57BEE">
      <w:pPr>
        <w:spacing w:after="160" w:line="259" w:lineRule="auto"/>
        <w:rPr>
          <w:rFonts w:ascii="Calibri" w:eastAsia="Calibri" w:hAnsi="Calibri" w:cs="Times New Roman"/>
          <w:b/>
          <w:bCs/>
          <w:color w:val="000000" w:themeColor="text1"/>
          <w:lang w:val="en-US"/>
        </w:rPr>
      </w:pPr>
      <w:r w:rsidRPr="00A945AB">
        <w:rPr>
          <w:rFonts w:ascii="Calibri" w:eastAsia="Calibri" w:hAnsi="Calibri" w:cs="Times New Roman"/>
          <w:b/>
          <w:bCs/>
          <w:color w:val="000000" w:themeColor="text1"/>
          <w:lang w:val="en-US"/>
        </w:rPr>
        <w:br w:type="page"/>
      </w:r>
    </w:p>
    <w:p w14:paraId="4A785D0C" w14:textId="4378E416" w:rsidR="005C6436" w:rsidRPr="00A945AB" w:rsidRDefault="00F57BEE" w:rsidP="00A945AB">
      <w:pPr>
        <w:spacing w:after="160" w:line="259" w:lineRule="auto"/>
        <w:rPr>
          <w:rFonts w:ascii="Calibri" w:eastAsia="Calibri" w:hAnsi="Calibri" w:cs="Times New Roman"/>
          <w:color w:val="000000" w:themeColor="text1"/>
          <w:lang w:val="en-US"/>
        </w:rPr>
      </w:pPr>
      <w:r w:rsidRPr="001E7605">
        <w:rPr>
          <w:noProof/>
        </w:rPr>
        <w:lastRenderedPageBreak/>
        <w:drawing>
          <wp:inline distT="0" distB="0" distL="0" distR="0" wp14:anchorId="0D2D4329" wp14:editId="18943283">
            <wp:extent cx="5731114" cy="6365174"/>
            <wp:effectExtent l="0" t="0" r="3175" b="0"/>
            <wp:docPr id="20242675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738" b="18291"/>
                    <a:stretch>
                      <a:fillRect/>
                    </a:stretch>
                  </pic:blipFill>
                  <pic:spPr bwMode="auto">
                    <a:xfrm>
                      <a:off x="0" y="0"/>
                      <a:ext cx="5731510" cy="6365614"/>
                    </a:xfrm>
                    <a:prstGeom prst="rect">
                      <a:avLst/>
                    </a:prstGeom>
                    <a:noFill/>
                    <a:ln>
                      <a:noFill/>
                    </a:ln>
                    <a:extLst>
                      <a:ext uri="{53640926-AAD7-44D8-BBD7-CCE9431645EC}">
                        <a14:shadowObscured xmlns:a14="http://schemas.microsoft.com/office/drawing/2010/main"/>
                      </a:ext>
                    </a:extLst>
                  </pic:spPr>
                </pic:pic>
              </a:graphicData>
            </a:graphic>
          </wp:inline>
        </w:drawing>
      </w:r>
      <w:r w:rsidR="005C6436" w:rsidRPr="005D6169">
        <w:rPr>
          <w:rFonts w:ascii="Calibri" w:eastAsia="Calibri" w:hAnsi="Calibri" w:cs="Times New Roman"/>
          <w:b/>
          <w:bCs/>
          <w:color w:val="000000" w:themeColor="text1"/>
          <w:lang w:val="en-US"/>
        </w:rPr>
        <w:t xml:space="preserve">Figure </w:t>
      </w:r>
      <w:r w:rsidR="00BC53C8" w:rsidRPr="005D6169">
        <w:rPr>
          <w:rFonts w:ascii="Calibri" w:eastAsia="Calibri" w:hAnsi="Calibri" w:cs="Times New Roman"/>
          <w:b/>
          <w:bCs/>
          <w:color w:val="000000" w:themeColor="text1"/>
          <w:lang w:val="en-US"/>
        </w:rPr>
        <w:t>S6</w:t>
      </w:r>
      <w:r w:rsidR="005C6436" w:rsidRPr="005D6169">
        <w:rPr>
          <w:rFonts w:ascii="Calibri" w:eastAsia="Calibri" w:hAnsi="Calibri" w:cs="Times New Roman"/>
          <w:b/>
          <w:bCs/>
          <w:color w:val="000000" w:themeColor="text1"/>
          <w:lang w:val="en-US"/>
        </w:rPr>
        <w:t>. Lgi3</w:t>
      </w:r>
      <w:r w:rsidR="005C6436" w:rsidRPr="00A945AB">
        <w:rPr>
          <w:rFonts w:ascii="Calibri" w:eastAsia="Calibri" w:hAnsi="Calibri" w:cs="Times New Roman"/>
          <w:b/>
          <w:bCs/>
          <w:color w:val="000000" w:themeColor="text1"/>
          <w:lang w:val="en-US"/>
        </w:rPr>
        <w:t>-4 modulate the current amplitude of K</w:t>
      </w:r>
      <w:r w:rsidR="005C6436" w:rsidRPr="00A945AB">
        <w:rPr>
          <w:rFonts w:ascii="Calibri" w:eastAsia="Calibri" w:hAnsi="Calibri" w:cs="Times New Roman"/>
          <w:b/>
          <w:bCs/>
          <w:color w:val="000000" w:themeColor="text1"/>
          <w:vertAlign w:val="subscript"/>
          <w:lang w:val="en-US"/>
        </w:rPr>
        <w:t>V</w:t>
      </w:r>
      <w:r w:rsidR="005C6436" w:rsidRPr="00A945AB">
        <w:rPr>
          <w:rFonts w:ascii="Calibri" w:eastAsia="Calibri" w:hAnsi="Calibri" w:cs="Times New Roman"/>
          <w:b/>
          <w:bCs/>
          <w:color w:val="000000" w:themeColor="text1"/>
          <w:lang w:val="en-US"/>
        </w:rPr>
        <w:t>4.3 but not that of K</w:t>
      </w:r>
      <w:r w:rsidR="005C6436" w:rsidRPr="00A945AB">
        <w:rPr>
          <w:rFonts w:ascii="Calibri" w:eastAsia="Calibri" w:hAnsi="Calibri" w:cs="Times New Roman"/>
          <w:b/>
          <w:bCs/>
          <w:color w:val="000000" w:themeColor="text1"/>
          <w:vertAlign w:val="subscript"/>
          <w:lang w:val="en-US"/>
        </w:rPr>
        <w:t>V</w:t>
      </w:r>
      <w:r w:rsidR="005C6436" w:rsidRPr="00A945AB">
        <w:rPr>
          <w:rFonts w:ascii="Calibri" w:eastAsia="Calibri" w:hAnsi="Calibri" w:cs="Times New Roman"/>
          <w:b/>
          <w:bCs/>
          <w:color w:val="000000" w:themeColor="text1"/>
          <w:lang w:val="en-US"/>
        </w:rPr>
        <w:t xml:space="preserve">4.2. </w:t>
      </w:r>
      <w:r w:rsidR="005C6436" w:rsidRPr="00A945AB">
        <w:rPr>
          <w:rFonts w:ascii="Calibri" w:eastAsia="Calibri" w:hAnsi="Calibri" w:cs="Times New Roman"/>
          <w:color w:val="000000" w:themeColor="text1"/>
          <w:lang w:val="en-US"/>
        </w:rPr>
        <w:t>The upper panel shows the I-V protocol used to record K</w:t>
      </w:r>
      <w:r w:rsidR="005C6436" w:rsidRPr="00A945AB">
        <w:rPr>
          <w:rFonts w:ascii="Calibri" w:eastAsia="Calibri" w:hAnsi="Calibri" w:cs="Times New Roman"/>
          <w:color w:val="000000" w:themeColor="text1"/>
          <w:vertAlign w:val="subscript"/>
          <w:lang w:val="en-US"/>
        </w:rPr>
        <w:t>V</w:t>
      </w:r>
      <w:r w:rsidR="005C6436" w:rsidRPr="00A945AB">
        <w:rPr>
          <w:rFonts w:ascii="Calibri" w:eastAsia="Calibri" w:hAnsi="Calibri" w:cs="Times New Roman"/>
          <w:color w:val="000000" w:themeColor="text1"/>
          <w:lang w:val="en-US"/>
        </w:rPr>
        <w:t xml:space="preserve">4 currents </w:t>
      </w:r>
      <w:r w:rsidR="005C6436" w:rsidRPr="00A945AB">
        <w:rPr>
          <w:rFonts w:ascii="Calibri" w:eastAsia="Calibri" w:hAnsi="Calibri" w:cs="Times New Roman"/>
          <w:b/>
          <w:bCs/>
          <w:color w:val="000000" w:themeColor="text1"/>
          <w:lang w:val="en-US"/>
        </w:rPr>
        <w:t>A)</w:t>
      </w:r>
      <w:r w:rsidR="005C6436" w:rsidRPr="00A945AB">
        <w:rPr>
          <w:rFonts w:ascii="Calibri" w:eastAsia="Calibri" w:hAnsi="Calibri" w:cs="Times New Roman"/>
          <w:color w:val="000000" w:themeColor="text1"/>
          <w:lang w:val="en-US"/>
        </w:rPr>
        <w:t xml:space="preserve"> Original current recordings of K</w:t>
      </w:r>
      <w:r w:rsidR="005C6436" w:rsidRPr="00A945AB">
        <w:rPr>
          <w:rFonts w:ascii="Calibri" w:eastAsia="Calibri" w:hAnsi="Calibri" w:cs="Times New Roman"/>
          <w:color w:val="000000" w:themeColor="text1"/>
          <w:vertAlign w:val="subscript"/>
          <w:lang w:val="en-US"/>
        </w:rPr>
        <w:t>V</w:t>
      </w:r>
      <w:r w:rsidR="005C6436" w:rsidRPr="00A945AB">
        <w:rPr>
          <w:rFonts w:ascii="Calibri" w:eastAsia="Calibri" w:hAnsi="Calibri" w:cs="Times New Roman"/>
          <w:color w:val="000000" w:themeColor="text1"/>
          <w:lang w:val="en-US"/>
        </w:rPr>
        <w:t>4.3 in the absence and in the presence of Lgi3-4 in CHO cells.</w:t>
      </w:r>
      <w:r w:rsidR="00C8539E" w:rsidRPr="00A945AB">
        <w:rPr>
          <w:rFonts w:ascii="Calibri" w:eastAsia="Calibri" w:hAnsi="Calibri" w:cs="Times New Roman"/>
          <w:color w:val="000000" w:themeColor="text1"/>
          <w:lang w:val="en-US"/>
        </w:rPr>
        <w:t xml:space="preserve"> </w:t>
      </w:r>
      <w:r w:rsidR="00C8539E" w:rsidRPr="00A945AB">
        <w:rPr>
          <w:rFonts w:cstheme="minorHAnsi"/>
          <w:color w:val="000000" w:themeColor="text1"/>
          <w:lang w:val="en-GB"/>
        </w:rPr>
        <w:t xml:space="preserve">Scale bar: 50 </w:t>
      </w:r>
      <w:proofErr w:type="spellStart"/>
      <w:r w:rsidR="00C8539E" w:rsidRPr="00A945AB">
        <w:rPr>
          <w:rFonts w:cstheme="minorHAnsi"/>
          <w:color w:val="000000" w:themeColor="text1"/>
          <w:lang w:val="en-GB"/>
        </w:rPr>
        <w:t>ms</w:t>
      </w:r>
      <w:proofErr w:type="spellEnd"/>
      <w:r w:rsidR="00C8539E" w:rsidRPr="00A945AB">
        <w:rPr>
          <w:rFonts w:cstheme="minorHAnsi"/>
          <w:color w:val="000000" w:themeColor="text1"/>
          <w:lang w:val="en-GB"/>
        </w:rPr>
        <w:t xml:space="preserve"> in the </w:t>
      </w:r>
      <w:r w:rsidR="00C8539E" w:rsidRPr="00A945AB">
        <w:rPr>
          <w:rFonts w:cstheme="minorHAnsi"/>
          <w:i/>
          <w:iCs/>
          <w:color w:val="000000" w:themeColor="text1"/>
          <w:lang w:val="en-GB"/>
        </w:rPr>
        <w:t>x</w:t>
      </w:r>
      <w:r w:rsidR="00C8539E" w:rsidRPr="00A945AB">
        <w:rPr>
          <w:rFonts w:cstheme="minorHAnsi"/>
          <w:color w:val="000000" w:themeColor="text1"/>
          <w:lang w:val="en-GB"/>
        </w:rPr>
        <w:t xml:space="preserve"> axis and 500 </w:t>
      </w:r>
      <w:proofErr w:type="spellStart"/>
      <w:r w:rsidR="00C8539E" w:rsidRPr="00A945AB">
        <w:rPr>
          <w:rFonts w:cstheme="minorHAnsi"/>
          <w:color w:val="000000" w:themeColor="text1"/>
          <w:lang w:val="en-GB"/>
        </w:rPr>
        <w:t>pA</w:t>
      </w:r>
      <w:proofErr w:type="spellEnd"/>
      <w:r w:rsidR="00C8539E" w:rsidRPr="00A945AB">
        <w:rPr>
          <w:rFonts w:cstheme="minorHAnsi"/>
          <w:color w:val="000000" w:themeColor="text1"/>
          <w:lang w:val="en-GB"/>
        </w:rPr>
        <w:t xml:space="preserve"> in the </w:t>
      </w:r>
      <w:r w:rsidR="00C8539E" w:rsidRPr="00A945AB">
        <w:rPr>
          <w:rFonts w:cstheme="minorHAnsi"/>
          <w:i/>
          <w:iCs/>
          <w:color w:val="000000" w:themeColor="text1"/>
          <w:lang w:val="en-GB"/>
        </w:rPr>
        <w:t>y</w:t>
      </w:r>
      <w:r w:rsidR="00C8539E" w:rsidRPr="00A945AB">
        <w:rPr>
          <w:rFonts w:cstheme="minorHAnsi"/>
          <w:color w:val="000000" w:themeColor="text1"/>
          <w:lang w:val="en-GB"/>
        </w:rPr>
        <w:t xml:space="preserve"> axis.</w:t>
      </w:r>
      <w:r w:rsidR="005C6436" w:rsidRPr="00A945AB">
        <w:rPr>
          <w:rFonts w:ascii="Calibri" w:eastAsia="Calibri" w:hAnsi="Calibri" w:cs="Times New Roman"/>
          <w:color w:val="000000" w:themeColor="text1"/>
          <w:lang w:val="en-US"/>
        </w:rPr>
        <w:t xml:space="preserve"> </w:t>
      </w:r>
      <w:r w:rsidR="005C6436" w:rsidRPr="00A945AB">
        <w:rPr>
          <w:rFonts w:ascii="Calibri" w:eastAsia="Calibri" w:hAnsi="Calibri" w:cs="Times New Roman"/>
          <w:b/>
          <w:bCs/>
          <w:color w:val="000000" w:themeColor="text1"/>
          <w:lang w:val="en-US"/>
        </w:rPr>
        <w:t>B)</w:t>
      </w:r>
      <w:r w:rsidR="005C6436" w:rsidRPr="00A945AB">
        <w:rPr>
          <w:rFonts w:ascii="Calibri" w:eastAsia="Calibri" w:hAnsi="Calibri" w:cs="Times New Roman"/>
          <w:color w:val="000000" w:themeColor="text1"/>
          <w:lang w:val="en-US"/>
        </w:rPr>
        <w:t xml:space="preserve">  Current-voltage relationship measured at the peak of the 250 </w:t>
      </w:r>
      <w:proofErr w:type="spellStart"/>
      <w:r w:rsidR="005C6436" w:rsidRPr="00A945AB">
        <w:rPr>
          <w:rFonts w:ascii="Calibri" w:eastAsia="Calibri" w:hAnsi="Calibri" w:cs="Times New Roman"/>
          <w:color w:val="000000" w:themeColor="text1"/>
          <w:lang w:val="en-US"/>
        </w:rPr>
        <w:t>ms</w:t>
      </w:r>
      <w:proofErr w:type="spellEnd"/>
      <w:r w:rsidR="005C6436" w:rsidRPr="00A945AB">
        <w:rPr>
          <w:rFonts w:ascii="Calibri" w:eastAsia="Calibri" w:hAnsi="Calibri" w:cs="Times New Roman"/>
          <w:color w:val="000000" w:themeColor="text1"/>
          <w:lang w:val="en-US"/>
        </w:rPr>
        <w:t xml:space="preserve"> depolarizing-pulse (n=18-24). </w:t>
      </w:r>
      <w:r w:rsidR="005C6436" w:rsidRPr="00A945AB">
        <w:rPr>
          <w:rFonts w:ascii="Calibri" w:eastAsia="Calibri" w:hAnsi="Calibri" w:cs="Times New Roman"/>
          <w:b/>
          <w:bCs/>
          <w:color w:val="000000" w:themeColor="text1"/>
          <w:lang w:val="en-US"/>
        </w:rPr>
        <w:t>C)</w:t>
      </w:r>
      <w:r w:rsidR="005C6436" w:rsidRPr="00A945AB">
        <w:rPr>
          <w:rFonts w:ascii="Calibri" w:eastAsia="Calibri" w:hAnsi="Calibri" w:cs="Times New Roman"/>
          <w:color w:val="000000" w:themeColor="text1"/>
          <w:lang w:val="en-US"/>
        </w:rPr>
        <w:t xml:space="preserve"> Original current traces of K</w:t>
      </w:r>
      <w:r w:rsidR="005C6436" w:rsidRPr="00A945AB">
        <w:rPr>
          <w:rFonts w:ascii="Calibri" w:eastAsia="Calibri" w:hAnsi="Calibri" w:cs="Times New Roman"/>
          <w:color w:val="000000" w:themeColor="text1"/>
          <w:vertAlign w:val="subscript"/>
          <w:lang w:val="en-US"/>
        </w:rPr>
        <w:t>V</w:t>
      </w:r>
      <w:r w:rsidR="005C6436" w:rsidRPr="00A945AB">
        <w:rPr>
          <w:rFonts w:ascii="Calibri" w:eastAsia="Calibri" w:hAnsi="Calibri" w:cs="Times New Roman"/>
          <w:color w:val="000000" w:themeColor="text1"/>
          <w:lang w:val="en-US"/>
        </w:rPr>
        <w:t xml:space="preserve">4.2 in the absence and in the presence of Lgi3-4 in CHO cells. </w:t>
      </w:r>
      <w:r w:rsidR="00C8539E" w:rsidRPr="00A945AB">
        <w:rPr>
          <w:rFonts w:cstheme="minorHAnsi"/>
          <w:color w:val="000000" w:themeColor="text1"/>
          <w:lang w:val="en-GB"/>
        </w:rPr>
        <w:t xml:space="preserve">Scale bar: 50 </w:t>
      </w:r>
      <w:proofErr w:type="spellStart"/>
      <w:r w:rsidR="00C8539E" w:rsidRPr="00A945AB">
        <w:rPr>
          <w:rFonts w:cstheme="minorHAnsi"/>
          <w:color w:val="000000" w:themeColor="text1"/>
          <w:lang w:val="en-GB"/>
        </w:rPr>
        <w:t>ms</w:t>
      </w:r>
      <w:proofErr w:type="spellEnd"/>
      <w:r w:rsidR="00C8539E" w:rsidRPr="00A945AB">
        <w:rPr>
          <w:rFonts w:cstheme="minorHAnsi"/>
          <w:color w:val="000000" w:themeColor="text1"/>
          <w:lang w:val="en-GB"/>
        </w:rPr>
        <w:t xml:space="preserve"> in the </w:t>
      </w:r>
      <w:r w:rsidR="00C8539E" w:rsidRPr="00A945AB">
        <w:rPr>
          <w:rFonts w:cstheme="minorHAnsi"/>
          <w:i/>
          <w:iCs/>
          <w:color w:val="000000" w:themeColor="text1"/>
          <w:lang w:val="en-GB"/>
        </w:rPr>
        <w:t>x</w:t>
      </w:r>
      <w:r w:rsidR="00C8539E" w:rsidRPr="00A945AB">
        <w:rPr>
          <w:rFonts w:cstheme="minorHAnsi"/>
          <w:color w:val="000000" w:themeColor="text1"/>
          <w:lang w:val="en-GB"/>
        </w:rPr>
        <w:t xml:space="preserve"> axis and 500 </w:t>
      </w:r>
      <w:proofErr w:type="spellStart"/>
      <w:r w:rsidR="00C8539E" w:rsidRPr="00A945AB">
        <w:rPr>
          <w:rFonts w:cstheme="minorHAnsi"/>
          <w:color w:val="000000" w:themeColor="text1"/>
          <w:lang w:val="en-GB"/>
        </w:rPr>
        <w:t>pA</w:t>
      </w:r>
      <w:proofErr w:type="spellEnd"/>
      <w:r w:rsidR="00C8539E" w:rsidRPr="00A945AB">
        <w:rPr>
          <w:rFonts w:cstheme="minorHAnsi"/>
          <w:color w:val="000000" w:themeColor="text1"/>
          <w:lang w:val="en-GB"/>
        </w:rPr>
        <w:t xml:space="preserve"> in the </w:t>
      </w:r>
      <w:r w:rsidR="00C8539E" w:rsidRPr="00A945AB">
        <w:rPr>
          <w:rFonts w:cstheme="minorHAnsi"/>
          <w:i/>
          <w:iCs/>
          <w:color w:val="000000" w:themeColor="text1"/>
          <w:lang w:val="en-GB"/>
        </w:rPr>
        <w:t>y</w:t>
      </w:r>
      <w:r w:rsidR="00C8539E" w:rsidRPr="00A945AB">
        <w:rPr>
          <w:rFonts w:cstheme="minorHAnsi"/>
          <w:color w:val="000000" w:themeColor="text1"/>
          <w:lang w:val="en-GB"/>
        </w:rPr>
        <w:t xml:space="preserve"> axis.</w:t>
      </w:r>
      <w:r w:rsidR="00C8539E" w:rsidRPr="00A945AB">
        <w:rPr>
          <w:rFonts w:ascii="Calibri" w:eastAsia="Calibri" w:hAnsi="Calibri" w:cs="Times New Roman"/>
          <w:color w:val="000000" w:themeColor="text1"/>
          <w:lang w:val="en-US"/>
        </w:rPr>
        <w:t xml:space="preserve"> </w:t>
      </w:r>
      <w:r w:rsidR="005C6436" w:rsidRPr="00A945AB">
        <w:rPr>
          <w:rFonts w:ascii="Calibri" w:eastAsia="Calibri" w:hAnsi="Calibri" w:cs="Times New Roman"/>
          <w:b/>
          <w:bCs/>
          <w:color w:val="000000" w:themeColor="text1"/>
          <w:lang w:val="en-US"/>
        </w:rPr>
        <w:t>D)</w:t>
      </w:r>
      <w:r w:rsidR="005C6436" w:rsidRPr="00A945AB">
        <w:rPr>
          <w:rFonts w:ascii="Calibri" w:eastAsia="Calibri" w:hAnsi="Calibri" w:cs="Times New Roman"/>
          <w:color w:val="000000" w:themeColor="text1"/>
          <w:lang w:val="en-US"/>
        </w:rPr>
        <w:t xml:space="preserve"> I-V measured at the maximum peak of the depolarizing-pulses (n=12-16). Data represent mean</w:t>
      </w:r>
      <w:r w:rsidR="005C6436" w:rsidRPr="00A945AB">
        <w:rPr>
          <w:rFonts w:ascii="Calibri" w:eastAsia="Calibri" w:hAnsi="Calibri" w:cs="Times New Roman"/>
          <w:color w:val="000000" w:themeColor="text1"/>
          <w:lang w:val="en-US"/>
        </w:rPr>
        <w:sym w:font="Symbol" w:char="F0B1"/>
      </w:r>
      <w:r w:rsidR="005C6436" w:rsidRPr="00A945AB">
        <w:rPr>
          <w:rFonts w:ascii="Calibri" w:eastAsia="Calibri" w:hAnsi="Calibri" w:cs="Times New Roman"/>
          <w:color w:val="000000" w:themeColor="text1"/>
          <w:lang w:val="en-US"/>
        </w:rPr>
        <w:t xml:space="preserve">SEM. </w:t>
      </w:r>
      <w:r w:rsidR="005C6436" w:rsidRPr="00A945AB">
        <w:rPr>
          <w:rFonts w:ascii="Calibri" w:eastAsia="Calibri" w:hAnsi="Calibri" w:cs="Times New Roman"/>
          <w:b/>
          <w:bCs/>
          <w:color w:val="000000" w:themeColor="text1"/>
          <w:lang w:val="en-US"/>
        </w:rPr>
        <w:t>E)</w:t>
      </w:r>
      <w:r w:rsidR="005C6436" w:rsidRPr="00A945AB">
        <w:rPr>
          <w:rFonts w:ascii="Calibri" w:eastAsia="Calibri" w:hAnsi="Calibri" w:cs="Times New Roman"/>
          <w:color w:val="000000" w:themeColor="text1"/>
          <w:lang w:val="en-US"/>
        </w:rPr>
        <w:t xml:space="preserve"> Representative confocal images of the immunodetection of K</w:t>
      </w:r>
      <w:r w:rsidR="005C6436" w:rsidRPr="00A945AB">
        <w:rPr>
          <w:rFonts w:ascii="Calibri" w:eastAsia="Calibri" w:hAnsi="Calibri" w:cs="Times New Roman"/>
          <w:color w:val="000000" w:themeColor="text1"/>
          <w:vertAlign w:val="subscript"/>
          <w:lang w:val="en-US"/>
        </w:rPr>
        <w:t>V</w:t>
      </w:r>
      <w:r w:rsidR="005C6436" w:rsidRPr="00A945AB">
        <w:rPr>
          <w:rFonts w:ascii="Calibri" w:eastAsia="Calibri" w:hAnsi="Calibri" w:cs="Times New Roman"/>
          <w:color w:val="000000" w:themeColor="text1"/>
          <w:lang w:val="en-US"/>
        </w:rPr>
        <w:t>4.3 with Lgi3 (upper panels) and Lgi4 (lower panels) in human atrium slices from patients in SR (N=5-6, n=25-30).</w:t>
      </w:r>
      <w:r w:rsidR="004C3C49" w:rsidRPr="00A945AB">
        <w:rPr>
          <w:rFonts w:ascii="Calibri" w:eastAsia="Calibri" w:hAnsi="Calibri" w:cs="Times New Roman"/>
          <w:color w:val="000000" w:themeColor="text1"/>
          <w:lang w:val="en-US"/>
        </w:rPr>
        <w:t xml:space="preserve"> Scale bar: 20 </w:t>
      </w:r>
      <w:r w:rsidR="004C3C49" w:rsidRPr="00A945AB">
        <w:rPr>
          <w:rFonts w:ascii="Calibri" w:eastAsia="Calibri" w:hAnsi="Calibri" w:cs="Calibri"/>
          <w:color w:val="000000" w:themeColor="text1"/>
          <w:lang w:val="en-US"/>
        </w:rPr>
        <w:t>µ</w:t>
      </w:r>
      <w:r w:rsidR="004C3C49" w:rsidRPr="00A945AB">
        <w:rPr>
          <w:rFonts w:ascii="Calibri" w:eastAsia="Calibri" w:hAnsi="Calibri" w:cs="Times New Roman"/>
          <w:color w:val="000000" w:themeColor="text1"/>
          <w:lang w:val="en-US"/>
        </w:rPr>
        <w:t>m.</w:t>
      </w:r>
      <w:r w:rsidR="005C6436" w:rsidRPr="00A945AB">
        <w:rPr>
          <w:rFonts w:ascii="Calibri" w:eastAsia="Calibri" w:hAnsi="Calibri" w:cs="Times New Roman"/>
          <w:color w:val="000000" w:themeColor="text1"/>
          <w:lang w:val="en-US"/>
        </w:rPr>
        <w:t xml:space="preserve"> PCC between either Lgi3-4 and K</w:t>
      </w:r>
      <w:r w:rsidR="005C6436" w:rsidRPr="00A945AB">
        <w:rPr>
          <w:rFonts w:ascii="Calibri" w:eastAsia="Calibri" w:hAnsi="Calibri" w:cs="Times New Roman"/>
          <w:color w:val="000000" w:themeColor="text1"/>
          <w:vertAlign w:val="subscript"/>
          <w:lang w:val="en-US"/>
        </w:rPr>
        <w:t>V</w:t>
      </w:r>
      <w:r w:rsidR="005C6436" w:rsidRPr="00A945AB">
        <w:rPr>
          <w:rFonts w:ascii="Calibri" w:eastAsia="Calibri" w:hAnsi="Calibri" w:cs="Times New Roman"/>
          <w:color w:val="000000" w:themeColor="text1"/>
          <w:lang w:val="en-US"/>
        </w:rPr>
        <w:t>4.3 are shown on the right graph. Values represent mean</w:t>
      </w:r>
      <w:r w:rsidR="005C6436" w:rsidRPr="00A945AB">
        <w:rPr>
          <w:rFonts w:ascii="Calibri" w:eastAsia="Calibri" w:hAnsi="Calibri" w:cs="Times New Roman"/>
          <w:color w:val="000000" w:themeColor="text1"/>
          <w:lang w:val="en-US"/>
        </w:rPr>
        <w:sym w:font="Symbol" w:char="F0B1"/>
      </w:r>
      <w:r w:rsidR="005C6436" w:rsidRPr="00A945AB">
        <w:rPr>
          <w:rFonts w:ascii="Calibri" w:eastAsia="Calibri" w:hAnsi="Calibri" w:cs="Times New Roman"/>
          <w:color w:val="000000" w:themeColor="text1"/>
          <w:lang w:val="en-US"/>
        </w:rPr>
        <w:t>SEM.</w:t>
      </w:r>
      <w:r w:rsidR="004C3C49" w:rsidRPr="00A945AB">
        <w:rPr>
          <w:rFonts w:ascii="Calibri" w:eastAsia="Calibri" w:hAnsi="Calibri" w:cs="Times New Roman"/>
          <w:color w:val="000000" w:themeColor="text1"/>
          <w:lang w:val="en-US"/>
        </w:rPr>
        <w:t xml:space="preserve"> </w:t>
      </w:r>
      <w:r w:rsidR="005C6436" w:rsidRPr="00A945AB">
        <w:rPr>
          <w:rFonts w:ascii="Calibri" w:eastAsia="Calibri" w:hAnsi="Calibri" w:cs="Times New Roman"/>
          <w:b/>
          <w:bCs/>
          <w:color w:val="000000" w:themeColor="text1"/>
          <w:lang w:val="en-US"/>
        </w:rPr>
        <w:t>F)</w:t>
      </w:r>
      <w:r w:rsidR="005C6436" w:rsidRPr="00A945AB">
        <w:rPr>
          <w:rFonts w:ascii="Calibri" w:eastAsia="Calibri" w:hAnsi="Calibri" w:cs="Times New Roman"/>
          <w:color w:val="000000" w:themeColor="text1"/>
          <w:lang w:val="en-US"/>
        </w:rPr>
        <w:t xml:space="preserve"> Representative confocal images of COS7 cells </w:t>
      </w:r>
      <w:proofErr w:type="spellStart"/>
      <w:r w:rsidR="005C6436" w:rsidRPr="00A945AB">
        <w:rPr>
          <w:rFonts w:ascii="Calibri" w:eastAsia="Calibri" w:hAnsi="Calibri" w:cs="Times New Roman"/>
          <w:color w:val="000000" w:themeColor="text1"/>
          <w:lang w:val="en-US"/>
        </w:rPr>
        <w:t>cotransfected</w:t>
      </w:r>
      <w:proofErr w:type="spellEnd"/>
      <w:r w:rsidR="005C6436" w:rsidRPr="00A945AB">
        <w:rPr>
          <w:rFonts w:ascii="Calibri" w:eastAsia="Calibri" w:hAnsi="Calibri" w:cs="Times New Roman"/>
          <w:color w:val="000000" w:themeColor="text1"/>
          <w:lang w:val="en-US"/>
        </w:rPr>
        <w:t xml:space="preserve"> with K</w:t>
      </w:r>
      <w:r w:rsidR="005C6436" w:rsidRPr="00A945AB">
        <w:rPr>
          <w:rFonts w:ascii="Calibri" w:eastAsia="Calibri" w:hAnsi="Calibri" w:cs="Times New Roman"/>
          <w:color w:val="000000" w:themeColor="text1"/>
          <w:vertAlign w:val="subscript"/>
          <w:lang w:val="en-US"/>
        </w:rPr>
        <w:t>V</w:t>
      </w:r>
      <w:r w:rsidR="005C6436" w:rsidRPr="00A945AB">
        <w:rPr>
          <w:rFonts w:ascii="Calibri" w:eastAsia="Calibri" w:hAnsi="Calibri" w:cs="Times New Roman"/>
          <w:color w:val="000000" w:themeColor="text1"/>
          <w:lang w:val="en-US"/>
        </w:rPr>
        <w:t xml:space="preserve">4.3 and Lgi3 (upper panels) or Lgi4 (lower panels). </w:t>
      </w:r>
      <w:r w:rsidR="004C3C49" w:rsidRPr="00A945AB">
        <w:rPr>
          <w:rFonts w:ascii="Calibri" w:eastAsia="Calibri" w:hAnsi="Calibri" w:cs="Times New Roman"/>
          <w:color w:val="000000" w:themeColor="text1"/>
          <w:lang w:val="en-US"/>
        </w:rPr>
        <w:t xml:space="preserve">Scale bar: 20 </w:t>
      </w:r>
      <w:r w:rsidR="004C3C49" w:rsidRPr="00A945AB">
        <w:rPr>
          <w:rFonts w:ascii="Calibri" w:eastAsia="Calibri" w:hAnsi="Calibri" w:cs="Calibri"/>
          <w:color w:val="000000" w:themeColor="text1"/>
          <w:lang w:val="en-US"/>
        </w:rPr>
        <w:t>µ</w:t>
      </w:r>
      <w:r w:rsidR="004C3C49" w:rsidRPr="00A945AB">
        <w:rPr>
          <w:rFonts w:ascii="Calibri" w:eastAsia="Calibri" w:hAnsi="Calibri" w:cs="Times New Roman"/>
          <w:color w:val="000000" w:themeColor="text1"/>
          <w:lang w:val="en-US"/>
        </w:rPr>
        <w:t xml:space="preserve">m. </w:t>
      </w:r>
      <w:r w:rsidR="005C6436" w:rsidRPr="00A945AB">
        <w:rPr>
          <w:rFonts w:ascii="Calibri" w:eastAsia="Calibri" w:hAnsi="Calibri" w:cs="Times New Roman"/>
          <w:color w:val="000000" w:themeColor="text1"/>
          <w:lang w:val="en-US"/>
        </w:rPr>
        <w:lastRenderedPageBreak/>
        <w:t>Quantification of the colocalization between K</w:t>
      </w:r>
      <w:r w:rsidR="005C6436" w:rsidRPr="00A945AB">
        <w:rPr>
          <w:rFonts w:ascii="Calibri" w:eastAsia="Calibri" w:hAnsi="Calibri" w:cs="Times New Roman"/>
          <w:color w:val="000000" w:themeColor="text1"/>
          <w:vertAlign w:val="subscript"/>
          <w:lang w:val="en-US"/>
        </w:rPr>
        <w:t>V</w:t>
      </w:r>
      <w:r w:rsidR="005C6436" w:rsidRPr="00A945AB">
        <w:rPr>
          <w:rFonts w:ascii="Calibri" w:eastAsia="Calibri" w:hAnsi="Calibri" w:cs="Times New Roman"/>
          <w:color w:val="000000" w:themeColor="text1"/>
          <w:lang w:val="en-US"/>
        </w:rPr>
        <w:t>4.3 and Lgi3 or Lgi4 (n=28-30). Data represent mean</w:t>
      </w:r>
      <w:r w:rsidR="005C6436" w:rsidRPr="00A945AB">
        <w:rPr>
          <w:rFonts w:ascii="Calibri" w:eastAsia="Calibri" w:hAnsi="Calibri" w:cs="Times New Roman"/>
          <w:color w:val="000000" w:themeColor="text1"/>
          <w:lang w:val="en-US"/>
        </w:rPr>
        <w:sym w:font="Symbol" w:char="F0B1"/>
      </w:r>
      <w:r w:rsidR="005C6436" w:rsidRPr="00A945AB">
        <w:rPr>
          <w:rFonts w:ascii="Calibri" w:eastAsia="Calibri" w:hAnsi="Calibri" w:cs="Times New Roman"/>
          <w:color w:val="000000" w:themeColor="text1"/>
          <w:lang w:val="en-US"/>
        </w:rPr>
        <w:t>SEM of the indicated n.</w:t>
      </w:r>
    </w:p>
    <w:p w14:paraId="1771B17E" w14:textId="77777777" w:rsidR="00BC53C8" w:rsidRDefault="00BC53C8">
      <w:pPr>
        <w:spacing w:after="160" w:line="259" w:lineRule="auto"/>
        <w:rPr>
          <w:rFonts w:ascii="Calibri" w:eastAsia="Calibri" w:hAnsi="Calibri" w:cs="Times New Roman"/>
          <w:b/>
          <w:bCs/>
          <w:color w:val="000000" w:themeColor="text1"/>
          <w:lang w:val="en-US"/>
        </w:rPr>
      </w:pPr>
      <w:r>
        <w:rPr>
          <w:rFonts w:ascii="Calibri" w:eastAsia="Calibri" w:hAnsi="Calibri" w:cs="Times New Roman"/>
          <w:b/>
          <w:bCs/>
          <w:color w:val="000000" w:themeColor="text1"/>
          <w:lang w:val="en-US"/>
        </w:rPr>
        <w:br w:type="page"/>
      </w:r>
    </w:p>
    <w:p w14:paraId="00A165F2" w14:textId="3927C9B5" w:rsidR="00BC53C8" w:rsidRPr="00FA745A" w:rsidRDefault="00BC53C8" w:rsidP="00BC53C8">
      <w:pPr>
        <w:jc w:val="both"/>
        <w:rPr>
          <w:rFonts w:ascii="Calibri" w:eastAsia="Calibri" w:hAnsi="Calibri" w:cs="Times New Roman"/>
          <w:color w:val="000000" w:themeColor="text1"/>
          <w:lang w:val="en-US"/>
        </w:rPr>
      </w:pPr>
      <w:r w:rsidRPr="001E7605">
        <w:rPr>
          <w:noProof/>
        </w:rPr>
        <w:lastRenderedPageBreak/>
        <w:drawing>
          <wp:inline distT="0" distB="0" distL="0" distR="0" wp14:anchorId="43A1E170" wp14:editId="34526778">
            <wp:extent cx="5731067" cy="5712031"/>
            <wp:effectExtent l="0" t="0" r="3175" b="3175"/>
            <wp:docPr id="12206256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744" b="25184"/>
                    <a:stretch>
                      <a:fillRect/>
                    </a:stretch>
                  </pic:blipFill>
                  <pic:spPr bwMode="auto">
                    <a:xfrm>
                      <a:off x="0" y="0"/>
                      <a:ext cx="5731510" cy="5712472"/>
                    </a:xfrm>
                    <a:prstGeom prst="rect">
                      <a:avLst/>
                    </a:prstGeom>
                    <a:noFill/>
                    <a:ln>
                      <a:noFill/>
                    </a:ln>
                    <a:extLst>
                      <a:ext uri="{53640926-AAD7-44D8-BBD7-CCE9431645EC}">
                        <a14:shadowObscured xmlns:a14="http://schemas.microsoft.com/office/drawing/2010/main"/>
                      </a:ext>
                    </a:extLst>
                  </pic:spPr>
                </pic:pic>
              </a:graphicData>
            </a:graphic>
          </wp:inline>
        </w:drawing>
      </w:r>
      <w:r w:rsidRPr="00FA745A">
        <w:rPr>
          <w:rFonts w:ascii="Calibri" w:eastAsia="Calibri" w:hAnsi="Calibri" w:cs="Times New Roman"/>
          <w:b/>
          <w:bCs/>
          <w:color w:val="000000" w:themeColor="text1"/>
          <w:lang w:val="en-US"/>
        </w:rPr>
        <w:t>Figu</w:t>
      </w:r>
      <w:r w:rsidRPr="005D6169">
        <w:rPr>
          <w:rFonts w:ascii="Calibri" w:eastAsia="Calibri" w:hAnsi="Calibri" w:cs="Times New Roman"/>
          <w:b/>
          <w:bCs/>
          <w:color w:val="000000" w:themeColor="text1"/>
          <w:lang w:val="en-US"/>
        </w:rPr>
        <w:t>re S7. Lgi4</w:t>
      </w:r>
      <w:r w:rsidRPr="00FA745A">
        <w:rPr>
          <w:rFonts w:ascii="Calibri" w:eastAsia="Calibri" w:hAnsi="Calibri" w:cs="Times New Roman"/>
          <w:b/>
          <w:bCs/>
          <w:color w:val="000000" w:themeColor="text1"/>
          <w:lang w:val="en-US"/>
        </w:rPr>
        <w:t>-3 colocalize with K</w:t>
      </w:r>
      <w:r w:rsidRPr="00FA745A">
        <w:rPr>
          <w:rFonts w:ascii="Calibri" w:eastAsia="Calibri" w:hAnsi="Calibri" w:cs="Times New Roman"/>
          <w:b/>
          <w:bCs/>
          <w:color w:val="000000" w:themeColor="text1"/>
          <w:vertAlign w:val="subscript"/>
          <w:lang w:val="en-US"/>
        </w:rPr>
        <w:t>V</w:t>
      </w:r>
      <w:r w:rsidRPr="00FA745A">
        <w:rPr>
          <w:rFonts w:ascii="Calibri" w:eastAsia="Calibri" w:hAnsi="Calibri" w:cs="Times New Roman"/>
          <w:b/>
          <w:bCs/>
          <w:color w:val="000000" w:themeColor="text1"/>
          <w:lang w:val="en-US"/>
        </w:rPr>
        <w:t>4.3 but Lgi4 does not alter its expression. A)</w:t>
      </w:r>
      <w:r w:rsidRPr="00FA745A">
        <w:rPr>
          <w:rFonts w:ascii="Calibri" w:eastAsia="Calibri" w:hAnsi="Calibri" w:cs="Times New Roman"/>
          <w:color w:val="000000" w:themeColor="text1"/>
          <w:lang w:val="en-US"/>
        </w:rPr>
        <w:t xml:space="preserve"> Left panel shows representative confocal images of the immunodetection of K</w:t>
      </w:r>
      <w:r w:rsidRPr="00FA745A">
        <w:rPr>
          <w:rFonts w:ascii="Calibri" w:eastAsia="Calibri" w:hAnsi="Calibri" w:cs="Times New Roman"/>
          <w:color w:val="000000" w:themeColor="text1"/>
          <w:vertAlign w:val="subscript"/>
          <w:lang w:val="en-US"/>
        </w:rPr>
        <w:t>V</w:t>
      </w:r>
      <w:r w:rsidRPr="00FA745A">
        <w:rPr>
          <w:rFonts w:ascii="Calibri" w:eastAsia="Calibri" w:hAnsi="Calibri" w:cs="Times New Roman"/>
          <w:color w:val="000000" w:themeColor="text1"/>
          <w:lang w:val="en-US"/>
        </w:rPr>
        <w:t>4.3 in permeabilized mice ventricular Control (up) and Lgi4 (down) CMs. Scale bar: 20 µm. Bar graphs show the quantification of the CMs area (left), the integrated density of K</w:t>
      </w:r>
      <w:r w:rsidRPr="00FA745A">
        <w:rPr>
          <w:rFonts w:ascii="Calibri" w:eastAsia="Calibri" w:hAnsi="Calibri" w:cs="Times New Roman"/>
          <w:color w:val="000000" w:themeColor="text1"/>
          <w:vertAlign w:val="subscript"/>
          <w:lang w:val="en-US"/>
        </w:rPr>
        <w:t>V</w:t>
      </w:r>
      <w:r w:rsidRPr="00FA745A">
        <w:rPr>
          <w:rFonts w:ascii="Calibri" w:eastAsia="Calibri" w:hAnsi="Calibri" w:cs="Times New Roman"/>
          <w:color w:val="000000" w:themeColor="text1"/>
          <w:lang w:val="en-US"/>
        </w:rPr>
        <w:t>1.5</w:t>
      </w:r>
      <w:r w:rsidRPr="00FA745A">
        <w:rPr>
          <w:rFonts w:ascii="Calibri" w:eastAsia="Calibri" w:hAnsi="Calibri" w:cs="Times New Roman"/>
          <w:color w:val="000000" w:themeColor="text1"/>
          <w:vertAlign w:val="subscript"/>
          <w:lang w:val="en-US"/>
        </w:rPr>
        <w:t>ext</w:t>
      </w:r>
      <w:r w:rsidRPr="00FA745A">
        <w:rPr>
          <w:rFonts w:ascii="Calibri" w:eastAsia="Calibri" w:hAnsi="Calibri" w:cs="Times New Roman"/>
          <w:color w:val="000000" w:themeColor="text1"/>
          <w:lang w:val="en-US"/>
        </w:rPr>
        <w:t>, measured as the mean intensity multiplied for the CM area (middle) and the mean signal intensity (right). Data are represented as the mean</w:t>
      </w:r>
      <w:r w:rsidRPr="00FA745A">
        <w:rPr>
          <w:rFonts w:ascii="Calibri" w:eastAsia="Calibri" w:hAnsi="Calibri" w:cs="Times New Roman"/>
          <w:color w:val="000000" w:themeColor="text1"/>
          <w:lang w:val="en-US"/>
        </w:rPr>
        <w:sym w:font="Symbol" w:char="F0B1"/>
      </w:r>
      <w:r w:rsidRPr="00FA745A">
        <w:rPr>
          <w:rFonts w:ascii="Calibri" w:eastAsia="Calibri" w:hAnsi="Calibri" w:cs="Times New Roman"/>
          <w:color w:val="000000" w:themeColor="text1"/>
          <w:lang w:val="en-US"/>
        </w:rPr>
        <w:t xml:space="preserve">SEM (N=3, n=38-39). </w:t>
      </w:r>
      <w:r w:rsidRPr="00FA745A">
        <w:rPr>
          <w:rFonts w:ascii="Calibri" w:eastAsia="Calibri" w:hAnsi="Calibri" w:cs="Times New Roman"/>
          <w:b/>
          <w:bCs/>
          <w:color w:val="000000" w:themeColor="text1"/>
          <w:lang w:val="en-US"/>
        </w:rPr>
        <w:t xml:space="preserve">B) </w:t>
      </w:r>
      <w:r w:rsidRPr="00FA745A">
        <w:rPr>
          <w:rFonts w:ascii="Calibri" w:eastAsia="Calibri" w:hAnsi="Calibri" w:cs="Times New Roman"/>
          <w:color w:val="000000" w:themeColor="text1"/>
          <w:lang w:val="en-US"/>
        </w:rPr>
        <w:t>Representative double immunofluorescence images of K</w:t>
      </w:r>
      <w:r w:rsidRPr="00FA745A">
        <w:rPr>
          <w:rFonts w:ascii="Calibri" w:eastAsia="Calibri" w:hAnsi="Calibri" w:cs="Times New Roman"/>
          <w:color w:val="000000" w:themeColor="text1"/>
          <w:vertAlign w:val="subscript"/>
          <w:lang w:val="en-US"/>
        </w:rPr>
        <w:t>V</w:t>
      </w:r>
      <w:r w:rsidRPr="00FA745A">
        <w:rPr>
          <w:rFonts w:ascii="Calibri" w:eastAsia="Calibri" w:hAnsi="Calibri" w:cs="Times New Roman"/>
          <w:color w:val="000000" w:themeColor="text1"/>
          <w:lang w:val="en-US"/>
        </w:rPr>
        <w:t>4.3 and Lgi4 in Lgi4 expressing mice ventricular CMs (above) and K</w:t>
      </w:r>
      <w:r w:rsidRPr="00FA745A">
        <w:rPr>
          <w:rFonts w:ascii="Calibri" w:eastAsia="Calibri" w:hAnsi="Calibri" w:cs="Times New Roman"/>
          <w:color w:val="000000" w:themeColor="text1"/>
          <w:vertAlign w:val="subscript"/>
          <w:lang w:val="en-US"/>
        </w:rPr>
        <w:t>V</w:t>
      </w:r>
      <w:r w:rsidRPr="00FA745A">
        <w:rPr>
          <w:rFonts w:ascii="Calibri" w:eastAsia="Calibri" w:hAnsi="Calibri" w:cs="Times New Roman"/>
          <w:color w:val="000000" w:themeColor="text1"/>
          <w:lang w:val="en-US"/>
        </w:rPr>
        <w:t>4.3 and Lgi3 in Control mice ventricular CMs (below). A zoom of the Merge image is represented on the right, followed by the quantification of the colocalization and overlapping between K</w:t>
      </w:r>
      <w:r w:rsidRPr="00FA745A">
        <w:rPr>
          <w:rFonts w:ascii="Calibri" w:eastAsia="Calibri" w:hAnsi="Calibri" w:cs="Times New Roman"/>
          <w:color w:val="000000" w:themeColor="text1"/>
          <w:vertAlign w:val="subscript"/>
          <w:lang w:val="en-US"/>
        </w:rPr>
        <w:t>V</w:t>
      </w:r>
      <w:r w:rsidRPr="00FA745A">
        <w:rPr>
          <w:rFonts w:ascii="Calibri" w:eastAsia="Calibri" w:hAnsi="Calibri" w:cs="Times New Roman"/>
          <w:color w:val="000000" w:themeColor="text1"/>
          <w:lang w:val="en-US"/>
        </w:rPr>
        <w:t xml:space="preserve">4.3 and Lgi4 or Lgi3. </w:t>
      </w:r>
      <w:r w:rsidRPr="00FA745A">
        <w:rPr>
          <w:rFonts w:ascii="Calibri" w:eastAsia="Calibri" w:hAnsi="Calibri" w:cs="Times New Roman"/>
          <w:b/>
          <w:bCs/>
          <w:color w:val="000000" w:themeColor="text1"/>
          <w:lang w:val="en-US"/>
        </w:rPr>
        <w:t xml:space="preserve">C) </w:t>
      </w:r>
      <w:r w:rsidRPr="00FA745A">
        <w:rPr>
          <w:rFonts w:ascii="Calibri" w:eastAsia="Calibri" w:hAnsi="Calibri" w:cs="Times New Roman"/>
          <w:color w:val="000000" w:themeColor="text1"/>
          <w:lang w:val="en-US"/>
        </w:rPr>
        <w:t>Representative double immunofluorescence images of K</w:t>
      </w:r>
      <w:r w:rsidRPr="00FA745A">
        <w:rPr>
          <w:rFonts w:ascii="Calibri" w:eastAsia="Calibri" w:hAnsi="Calibri" w:cs="Times New Roman"/>
          <w:color w:val="000000" w:themeColor="text1"/>
          <w:vertAlign w:val="subscript"/>
          <w:lang w:val="en-US"/>
        </w:rPr>
        <w:t>V</w:t>
      </w:r>
      <w:r w:rsidRPr="00FA745A">
        <w:rPr>
          <w:rFonts w:ascii="Calibri" w:eastAsia="Calibri" w:hAnsi="Calibri" w:cs="Times New Roman"/>
          <w:color w:val="000000" w:themeColor="text1"/>
          <w:lang w:val="en-US"/>
        </w:rPr>
        <w:t>4.3 and Lgi3 in Control mice ventricular CMs. A zoom of the Merge image is represented on the right, followed by the quantification of the colocalization and overlapping between K</w:t>
      </w:r>
      <w:r w:rsidRPr="00FA745A">
        <w:rPr>
          <w:rFonts w:ascii="Calibri" w:eastAsia="Calibri" w:hAnsi="Calibri" w:cs="Times New Roman"/>
          <w:color w:val="000000" w:themeColor="text1"/>
          <w:vertAlign w:val="subscript"/>
          <w:lang w:val="en-US"/>
        </w:rPr>
        <w:t>V</w:t>
      </w:r>
      <w:r w:rsidRPr="00FA745A">
        <w:rPr>
          <w:rFonts w:ascii="Calibri" w:eastAsia="Calibri" w:hAnsi="Calibri" w:cs="Times New Roman"/>
          <w:color w:val="000000" w:themeColor="text1"/>
          <w:lang w:val="en-US"/>
        </w:rPr>
        <w:t>4.3 and Lgi3 is represented at the right. Scale bar: 20 µm. Values are represented as mean</w:t>
      </w:r>
      <w:r w:rsidRPr="00FA745A">
        <w:rPr>
          <w:rFonts w:ascii="Calibri" w:eastAsia="Calibri" w:hAnsi="Calibri" w:cs="Times New Roman"/>
          <w:color w:val="000000" w:themeColor="text1"/>
          <w:lang w:val="en-US"/>
        </w:rPr>
        <w:sym w:font="Symbol" w:char="F0B1"/>
      </w:r>
      <w:r w:rsidRPr="00FA745A">
        <w:rPr>
          <w:rFonts w:ascii="Calibri" w:eastAsia="Calibri" w:hAnsi="Calibri" w:cs="Times New Roman"/>
          <w:color w:val="000000" w:themeColor="text1"/>
          <w:lang w:val="en-US"/>
        </w:rPr>
        <w:t>SEM (N=3, n=38-39).</w:t>
      </w:r>
    </w:p>
    <w:p w14:paraId="2265EF1A" w14:textId="1C10581D" w:rsidR="00F57BEE" w:rsidRPr="00A945AB" w:rsidRDefault="00BC53C8">
      <w:pPr>
        <w:spacing w:after="160" w:line="259" w:lineRule="auto"/>
        <w:rPr>
          <w:rFonts w:ascii="Calibri" w:eastAsia="Calibri" w:hAnsi="Calibri" w:cs="Times New Roman"/>
          <w:b/>
          <w:bCs/>
          <w:color w:val="000000" w:themeColor="text1"/>
          <w:lang w:val="en-US"/>
        </w:rPr>
      </w:pPr>
      <w:r w:rsidRPr="00FA745A">
        <w:rPr>
          <w:rFonts w:ascii="Calibri" w:eastAsia="Calibri" w:hAnsi="Calibri" w:cs="Times New Roman"/>
          <w:b/>
          <w:bCs/>
          <w:color w:val="000000" w:themeColor="text1"/>
          <w:lang w:val="en-US"/>
        </w:rPr>
        <w:br w:type="page"/>
      </w:r>
    </w:p>
    <w:p w14:paraId="06967233" w14:textId="6B027083" w:rsidR="005C6436" w:rsidRPr="00A945AB" w:rsidRDefault="00F57BEE" w:rsidP="005C6436">
      <w:pPr>
        <w:jc w:val="both"/>
        <w:rPr>
          <w:rFonts w:ascii="Calibri" w:eastAsia="Calibri" w:hAnsi="Calibri" w:cs="Times New Roman"/>
          <w:b/>
          <w:bCs/>
          <w:color w:val="000000" w:themeColor="text1"/>
          <w:lang w:val="en-US"/>
        </w:rPr>
      </w:pPr>
      <w:r w:rsidRPr="001E7605">
        <w:rPr>
          <w:noProof/>
        </w:rPr>
        <w:lastRenderedPageBreak/>
        <w:drawing>
          <wp:inline distT="0" distB="0" distL="0" distR="0" wp14:anchorId="71DE625B" wp14:editId="35EE7891">
            <wp:extent cx="5731209" cy="6816436"/>
            <wp:effectExtent l="0" t="0" r="3175" b="3810"/>
            <wp:docPr id="10855592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036" b="10539"/>
                    <a:stretch>
                      <a:fillRect/>
                    </a:stretch>
                  </pic:blipFill>
                  <pic:spPr bwMode="auto">
                    <a:xfrm>
                      <a:off x="0" y="0"/>
                      <a:ext cx="5731510" cy="6816794"/>
                    </a:xfrm>
                    <a:prstGeom prst="rect">
                      <a:avLst/>
                    </a:prstGeom>
                    <a:noFill/>
                    <a:ln>
                      <a:noFill/>
                    </a:ln>
                    <a:extLst>
                      <a:ext uri="{53640926-AAD7-44D8-BBD7-CCE9431645EC}">
                        <a14:shadowObscured xmlns:a14="http://schemas.microsoft.com/office/drawing/2010/main"/>
                      </a:ext>
                    </a:extLst>
                  </pic:spPr>
                </pic:pic>
              </a:graphicData>
            </a:graphic>
          </wp:inline>
        </w:drawing>
      </w:r>
      <w:r w:rsidR="005C6436" w:rsidRPr="00A945AB">
        <w:rPr>
          <w:rFonts w:ascii="Calibri" w:eastAsia="Calibri" w:hAnsi="Calibri" w:cs="Times New Roman"/>
          <w:b/>
          <w:bCs/>
          <w:color w:val="000000" w:themeColor="text1"/>
          <w:lang w:val="en-US"/>
        </w:rPr>
        <w:t>Figure S8. Lgi4-3 colocalize with K</w:t>
      </w:r>
      <w:r w:rsidR="005C6436" w:rsidRPr="00A945AB">
        <w:rPr>
          <w:rFonts w:ascii="Calibri" w:eastAsia="Calibri" w:hAnsi="Calibri" w:cs="Times New Roman"/>
          <w:b/>
          <w:bCs/>
          <w:color w:val="000000" w:themeColor="text1"/>
          <w:vertAlign w:val="subscript"/>
          <w:lang w:val="en-US"/>
        </w:rPr>
        <w:t>V</w:t>
      </w:r>
      <w:r w:rsidR="005C6436" w:rsidRPr="00A945AB">
        <w:rPr>
          <w:rFonts w:ascii="Calibri" w:eastAsia="Calibri" w:hAnsi="Calibri" w:cs="Times New Roman"/>
          <w:b/>
          <w:bCs/>
          <w:color w:val="000000" w:themeColor="text1"/>
          <w:lang w:val="en-US"/>
        </w:rPr>
        <w:t>1.5 in mice ventricular CMs, but Lgi4 does not alter total K</w:t>
      </w:r>
      <w:r w:rsidR="005C6436" w:rsidRPr="00A945AB">
        <w:rPr>
          <w:rFonts w:ascii="Calibri" w:eastAsia="Calibri" w:hAnsi="Calibri" w:cs="Times New Roman"/>
          <w:b/>
          <w:bCs/>
          <w:color w:val="000000" w:themeColor="text1"/>
          <w:vertAlign w:val="subscript"/>
          <w:lang w:val="en-US"/>
        </w:rPr>
        <w:t>V</w:t>
      </w:r>
      <w:r w:rsidR="005C6436" w:rsidRPr="00A945AB">
        <w:rPr>
          <w:rFonts w:ascii="Calibri" w:eastAsia="Calibri" w:hAnsi="Calibri" w:cs="Times New Roman"/>
          <w:b/>
          <w:bCs/>
          <w:color w:val="000000" w:themeColor="text1"/>
          <w:lang w:val="en-US"/>
        </w:rPr>
        <w:t>1.5 expression. A)</w:t>
      </w:r>
      <w:r w:rsidR="005C6436" w:rsidRPr="00A945AB">
        <w:rPr>
          <w:rFonts w:ascii="Calibri" w:eastAsia="Calibri" w:hAnsi="Calibri" w:cs="Times New Roman"/>
          <w:color w:val="000000" w:themeColor="text1"/>
          <w:lang w:val="en-US"/>
        </w:rPr>
        <w:t xml:space="preserve"> Representative images of the immunodetection of K</w:t>
      </w:r>
      <w:r w:rsidR="005C6436" w:rsidRPr="00A945AB">
        <w:rPr>
          <w:rFonts w:ascii="Calibri" w:eastAsia="Calibri" w:hAnsi="Calibri" w:cs="Times New Roman"/>
          <w:color w:val="000000" w:themeColor="text1"/>
          <w:vertAlign w:val="subscript"/>
          <w:lang w:val="en-US"/>
        </w:rPr>
        <w:t>V</w:t>
      </w:r>
      <w:r w:rsidR="005C6436" w:rsidRPr="00A945AB">
        <w:rPr>
          <w:rFonts w:ascii="Calibri" w:eastAsia="Calibri" w:hAnsi="Calibri" w:cs="Times New Roman"/>
          <w:color w:val="000000" w:themeColor="text1"/>
          <w:lang w:val="en-US"/>
        </w:rPr>
        <w:t>1.5 in permeabilized mice ventricular Control (upper panels) and Lgi4 (lower panels) CMs. A zoom of the selected region is shown next to each immunostaining. Scale bar: 20 µm. The quantification of the CMs area (left), the integrated density of K</w:t>
      </w:r>
      <w:r w:rsidR="005C6436" w:rsidRPr="00A945AB">
        <w:rPr>
          <w:rFonts w:ascii="Calibri" w:eastAsia="Calibri" w:hAnsi="Calibri" w:cs="Times New Roman"/>
          <w:color w:val="000000" w:themeColor="text1"/>
          <w:vertAlign w:val="subscript"/>
          <w:lang w:val="en-US"/>
        </w:rPr>
        <w:t>V</w:t>
      </w:r>
      <w:r w:rsidR="005C6436" w:rsidRPr="00A945AB">
        <w:rPr>
          <w:rFonts w:ascii="Calibri" w:eastAsia="Calibri" w:hAnsi="Calibri" w:cs="Times New Roman"/>
          <w:color w:val="000000" w:themeColor="text1"/>
          <w:lang w:val="en-US"/>
        </w:rPr>
        <w:t>1.5</w:t>
      </w:r>
      <w:r w:rsidR="005C6436" w:rsidRPr="00A945AB">
        <w:rPr>
          <w:rFonts w:ascii="Calibri" w:eastAsia="Calibri" w:hAnsi="Calibri" w:cs="Times New Roman"/>
          <w:color w:val="000000" w:themeColor="text1"/>
          <w:vertAlign w:val="subscript"/>
          <w:lang w:val="en-US"/>
        </w:rPr>
        <w:t>ext</w:t>
      </w:r>
      <w:r w:rsidR="005C6436" w:rsidRPr="00A945AB">
        <w:rPr>
          <w:rFonts w:ascii="Calibri" w:eastAsia="Calibri" w:hAnsi="Calibri" w:cs="Times New Roman"/>
          <w:color w:val="000000" w:themeColor="text1"/>
          <w:lang w:val="en-US"/>
        </w:rPr>
        <w:t>, measured as the mean intensity multiplied for the CM area (middle) and the mean signal intensity (right) are shown below. K</w:t>
      </w:r>
      <w:r w:rsidR="005C6436" w:rsidRPr="00A945AB">
        <w:rPr>
          <w:rFonts w:ascii="Calibri" w:eastAsia="Calibri" w:hAnsi="Calibri" w:cs="Times New Roman"/>
          <w:color w:val="000000" w:themeColor="text1"/>
          <w:vertAlign w:val="subscript"/>
          <w:lang w:val="en-US"/>
        </w:rPr>
        <w:t>V</w:t>
      </w:r>
      <w:r w:rsidR="005C6436" w:rsidRPr="00A945AB">
        <w:rPr>
          <w:rFonts w:ascii="Calibri" w:eastAsia="Calibri" w:hAnsi="Calibri" w:cs="Times New Roman"/>
          <w:color w:val="000000" w:themeColor="text1"/>
          <w:lang w:val="en-US"/>
        </w:rPr>
        <w:t>1.5 membrane expression is not altered in either of the two measurements when comparing Lgi4 CMs to Control ones. Values are represented as mean</w:t>
      </w:r>
      <w:r w:rsidR="005C6436" w:rsidRPr="00A945AB">
        <w:rPr>
          <w:rFonts w:ascii="Calibri" w:eastAsia="Calibri" w:hAnsi="Calibri" w:cs="Times New Roman"/>
          <w:color w:val="000000" w:themeColor="text1"/>
          <w:lang w:val="en-US"/>
        </w:rPr>
        <w:sym w:font="Symbol" w:char="F0B1"/>
      </w:r>
      <w:r w:rsidR="005C6436" w:rsidRPr="00A945AB">
        <w:rPr>
          <w:rFonts w:ascii="Calibri" w:eastAsia="Calibri" w:hAnsi="Calibri" w:cs="Times New Roman"/>
          <w:color w:val="000000" w:themeColor="text1"/>
          <w:lang w:val="en-US"/>
        </w:rPr>
        <w:t xml:space="preserve">SEM (N=3, n=39-40). </w:t>
      </w:r>
      <w:r w:rsidR="005C6436" w:rsidRPr="00A945AB">
        <w:rPr>
          <w:rFonts w:ascii="Calibri" w:eastAsia="Calibri" w:hAnsi="Calibri" w:cs="Times New Roman"/>
          <w:b/>
          <w:bCs/>
          <w:color w:val="000000" w:themeColor="text1"/>
          <w:lang w:val="en-US"/>
        </w:rPr>
        <w:t xml:space="preserve">B) </w:t>
      </w:r>
      <w:r w:rsidR="005C6436" w:rsidRPr="00A945AB">
        <w:rPr>
          <w:rFonts w:ascii="Calibri" w:eastAsia="Calibri" w:hAnsi="Calibri" w:cs="Times New Roman"/>
          <w:color w:val="000000" w:themeColor="text1"/>
          <w:lang w:val="en-US"/>
        </w:rPr>
        <w:t>Representative double immunofluorescence images of K</w:t>
      </w:r>
      <w:r w:rsidR="005C6436" w:rsidRPr="00A945AB">
        <w:rPr>
          <w:rFonts w:ascii="Calibri" w:eastAsia="Calibri" w:hAnsi="Calibri" w:cs="Times New Roman"/>
          <w:color w:val="000000" w:themeColor="text1"/>
          <w:vertAlign w:val="subscript"/>
          <w:lang w:val="en-US"/>
        </w:rPr>
        <w:t>V</w:t>
      </w:r>
      <w:r w:rsidR="005C6436" w:rsidRPr="00A945AB">
        <w:rPr>
          <w:rFonts w:ascii="Calibri" w:eastAsia="Calibri" w:hAnsi="Calibri" w:cs="Times New Roman"/>
          <w:color w:val="000000" w:themeColor="text1"/>
          <w:lang w:val="en-US"/>
        </w:rPr>
        <w:t>1.5 and Lgi4 in Lgi4 expressing mice ventricular CMs (above) and K</w:t>
      </w:r>
      <w:r w:rsidR="005C6436" w:rsidRPr="00A945AB">
        <w:rPr>
          <w:rFonts w:ascii="Calibri" w:eastAsia="Calibri" w:hAnsi="Calibri" w:cs="Times New Roman"/>
          <w:color w:val="000000" w:themeColor="text1"/>
          <w:vertAlign w:val="subscript"/>
          <w:lang w:val="en-US"/>
        </w:rPr>
        <w:t>V</w:t>
      </w:r>
      <w:r w:rsidR="005C6436" w:rsidRPr="00A945AB">
        <w:rPr>
          <w:rFonts w:ascii="Calibri" w:eastAsia="Calibri" w:hAnsi="Calibri" w:cs="Times New Roman"/>
          <w:color w:val="000000" w:themeColor="text1"/>
          <w:lang w:val="en-US"/>
        </w:rPr>
        <w:t xml:space="preserve">1.5 and Lgi3 in Control mice ventricular CMs (below). A </w:t>
      </w:r>
      <w:r w:rsidR="005C6436" w:rsidRPr="00A945AB">
        <w:rPr>
          <w:rFonts w:ascii="Calibri" w:eastAsia="Calibri" w:hAnsi="Calibri" w:cs="Times New Roman"/>
          <w:color w:val="000000" w:themeColor="text1"/>
          <w:lang w:val="en-US"/>
        </w:rPr>
        <w:lastRenderedPageBreak/>
        <w:t>zoom of the Merge image is represented on the right, followed by the quantification of the colocalization and overlapping between K</w:t>
      </w:r>
      <w:r w:rsidR="005C6436" w:rsidRPr="00A945AB">
        <w:rPr>
          <w:rFonts w:ascii="Calibri" w:eastAsia="Calibri" w:hAnsi="Calibri" w:cs="Times New Roman"/>
          <w:color w:val="000000" w:themeColor="text1"/>
          <w:vertAlign w:val="subscript"/>
          <w:lang w:val="en-US"/>
        </w:rPr>
        <w:t>V</w:t>
      </w:r>
      <w:r w:rsidR="005C6436" w:rsidRPr="00A945AB">
        <w:rPr>
          <w:rFonts w:ascii="Calibri" w:eastAsia="Calibri" w:hAnsi="Calibri" w:cs="Times New Roman"/>
          <w:color w:val="000000" w:themeColor="text1"/>
          <w:lang w:val="en-US"/>
        </w:rPr>
        <w:t>1.5 and Lgi4 or Lgi3. Scale bar: 20 µm. Values are represented as mean</w:t>
      </w:r>
      <w:r w:rsidR="005C6436" w:rsidRPr="00A945AB">
        <w:rPr>
          <w:rFonts w:ascii="Calibri" w:eastAsia="Calibri" w:hAnsi="Calibri" w:cs="Times New Roman"/>
          <w:color w:val="000000" w:themeColor="text1"/>
          <w:lang w:val="en-US"/>
        </w:rPr>
        <w:sym w:font="Symbol" w:char="F0B1"/>
      </w:r>
      <w:r w:rsidR="005C6436" w:rsidRPr="00A945AB">
        <w:rPr>
          <w:rFonts w:ascii="Calibri" w:eastAsia="Calibri" w:hAnsi="Calibri" w:cs="Times New Roman"/>
          <w:color w:val="000000" w:themeColor="text1"/>
          <w:lang w:val="en-US"/>
        </w:rPr>
        <w:t xml:space="preserve">SEM (N=3, n=39-40). </w:t>
      </w:r>
    </w:p>
    <w:p w14:paraId="29125BE4" w14:textId="77777777" w:rsidR="00F57BEE" w:rsidRPr="00A945AB" w:rsidRDefault="00F57BEE">
      <w:pPr>
        <w:spacing w:after="160" w:line="259" w:lineRule="auto"/>
        <w:rPr>
          <w:rFonts w:ascii="Calibri" w:eastAsia="Calibri" w:hAnsi="Calibri" w:cs="Times New Roman"/>
          <w:b/>
          <w:bCs/>
          <w:color w:val="000000" w:themeColor="text1"/>
          <w:lang w:val="en-US"/>
        </w:rPr>
      </w:pPr>
      <w:r w:rsidRPr="00A945AB">
        <w:rPr>
          <w:rFonts w:ascii="Calibri" w:eastAsia="Calibri" w:hAnsi="Calibri" w:cs="Times New Roman"/>
          <w:b/>
          <w:bCs/>
          <w:color w:val="000000" w:themeColor="text1"/>
          <w:lang w:val="en-US"/>
        </w:rPr>
        <w:br w:type="page"/>
      </w:r>
    </w:p>
    <w:p w14:paraId="4249F8EF" w14:textId="46A11771" w:rsidR="005C6436" w:rsidRPr="001E7605" w:rsidRDefault="00F57BEE" w:rsidP="00FA218B">
      <w:pPr>
        <w:jc w:val="both"/>
        <w:rPr>
          <w:rFonts w:ascii="Calibri" w:eastAsia="Calibri" w:hAnsi="Calibri" w:cs="Times New Roman"/>
          <w:color w:val="000000" w:themeColor="text1"/>
          <w:lang w:val="en-US"/>
        </w:rPr>
      </w:pPr>
      <w:r w:rsidRPr="001E7605">
        <w:rPr>
          <w:noProof/>
        </w:rPr>
        <w:lastRenderedPageBreak/>
        <w:drawing>
          <wp:inline distT="0" distB="0" distL="0" distR="0" wp14:anchorId="06D1B21E" wp14:editId="0B1D5347">
            <wp:extent cx="5731358" cy="5023262"/>
            <wp:effectExtent l="0" t="0" r="3175" b="6350"/>
            <wp:docPr id="11591374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764" b="29496"/>
                    <a:stretch>
                      <a:fillRect/>
                    </a:stretch>
                  </pic:blipFill>
                  <pic:spPr bwMode="auto">
                    <a:xfrm>
                      <a:off x="0" y="0"/>
                      <a:ext cx="5731510" cy="5023395"/>
                    </a:xfrm>
                    <a:prstGeom prst="rect">
                      <a:avLst/>
                    </a:prstGeom>
                    <a:noFill/>
                    <a:ln>
                      <a:noFill/>
                    </a:ln>
                    <a:extLst>
                      <a:ext uri="{53640926-AAD7-44D8-BBD7-CCE9431645EC}">
                        <a14:shadowObscured xmlns:a14="http://schemas.microsoft.com/office/drawing/2010/main"/>
                      </a:ext>
                    </a:extLst>
                  </pic:spPr>
                </pic:pic>
              </a:graphicData>
            </a:graphic>
          </wp:inline>
        </w:drawing>
      </w:r>
      <w:r w:rsidR="005C6436" w:rsidRPr="005D6169">
        <w:rPr>
          <w:rFonts w:ascii="Calibri" w:eastAsia="Calibri" w:hAnsi="Calibri" w:cs="Times New Roman"/>
          <w:b/>
          <w:bCs/>
          <w:color w:val="000000" w:themeColor="text1"/>
          <w:lang w:val="en-US"/>
        </w:rPr>
        <w:t xml:space="preserve">Figure </w:t>
      </w:r>
      <w:r w:rsidR="00BC53C8" w:rsidRPr="005D6169">
        <w:rPr>
          <w:rFonts w:ascii="Calibri" w:eastAsia="Calibri" w:hAnsi="Calibri" w:cs="Times New Roman"/>
          <w:b/>
          <w:bCs/>
          <w:color w:val="000000" w:themeColor="text1"/>
          <w:lang w:val="en-US"/>
        </w:rPr>
        <w:t>S9</w:t>
      </w:r>
      <w:r w:rsidR="005C6436" w:rsidRPr="005D6169">
        <w:rPr>
          <w:rFonts w:ascii="Calibri" w:eastAsia="Calibri" w:hAnsi="Calibri" w:cs="Times New Roman"/>
          <w:b/>
          <w:bCs/>
          <w:color w:val="000000" w:themeColor="text1"/>
          <w:lang w:val="en-US"/>
        </w:rPr>
        <w:t>. Electrophysiological</w:t>
      </w:r>
      <w:r w:rsidR="005C6436" w:rsidRPr="00A945AB">
        <w:rPr>
          <w:rFonts w:ascii="Calibri" w:eastAsia="Calibri" w:hAnsi="Calibri" w:cs="Times New Roman"/>
          <w:b/>
          <w:bCs/>
          <w:color w:val="000000" w:themeColor="text1"/>
          <w:lang w:val="en-US"/>
        </w:rPr>
        <w:t xml:space="preserve"> effects of isoprenaline on mice ventricular CMs. A)</w:t>
      </w:r>
      <w:r w:rsidR="005C6436" w:rsidRPr="00A945AB">
        <w:rPr>
          <w:rFonts w:ascii="Calibri" w:eastAsia="Calibri" w:hAnsi="Calibri" w:cs="Times New Roman"/>
          <w:color w:val="000000" w:themeColor="text1"/>
          <w:lang w:val="en-US"/>
        </w:rPr>
        <w:t xml:space="preserve"> The upper left panel shows representative </w:t>
      </w:r>
      <w:r w:rsidR="00DF6AC6" w:rsidRPr="00A945AB">
        <w:rPr>
          <w:rFonts w:ascii="Calibri" w:eastAsia="Calibri" w:hAnsi="Calibri" w:cs="Times New Roman"/>
          <w:color w:val="000000" w:themeColor="text1"/>
          <w:lang w:val="en-US"/>
        </w:rPr>
        <w:t xml:space="preserve">normalized </w:t>
      </w:r>
      <w:r w:rsidR="005C6436" w:rsidRPr="00A945AB">
        <w:rPr>
          <w:rFonts w:ascii="Calibri" w:eastAsia="Calibri" w:hAnsi="Calibri" w:cs="Times New Roman"/>
          <w:color w:val="000000" w:themeColor="text1"/>
          <w:lang w:val="en-US"/>
        </w:rPr>
        <w:t>recordings of APs registered at 2 Hz of stimulation in Control (black) and Lgi4 (blue) mice ventricular CMs in the absence (continuous lines) and in the presence of ISO (1 µM, dash lines). The upper right panel shows the resting membrane potential (RMP), maximal amplitude of the AP (Amplitude) and upstroke velocity (</w:t>
      </w:r>
      <w:proofErr w:type="spellStart"/>
      <w:r w:rsidR="005C6436" w:rsidRPr="00A945AB">
        <w:rPr>
          <w:rFonts w:ascii="Calibri" w:eastAsia="Calibri" w:hAnsi="Calibri" w:cs="Times New Roman"/>
          <w:color w:val="000000" w:themeColor="text1"/>
          <w:lang w:val="en-US"/>
        </w:rPr>
        <w:t>dV</w:t>
      </w:r>
      <w:proofErr w:type="spellEnd"/>
      <w:r w:rsidR="005C6436" w:rsidRPr="00A945AB">
        <w:rPr>
          <w:rFonts w:ascii="Calibri" w:eastAsia="Calibri" w:hAnsi="Calibri" w:cs="Times New Roman"/>
          <w:color w:val="000000" w:themeColor="text1"/>
          <w:lang w:val="en-US"/>
        </w:rPr>
        <w:t>/</w:t>
      </w:r>
      <w:proofErr w:type="spellStart"/>
      <w:r w:rsidR="005C6436" w:rsidRPr="00A945AB">
        <w:rPr>
          <w:rFonts w:ascii="Calibri" w:eastAsia="Calibri" w:hAnsi="Calibri" w:cs="Times New Roman"/>
          <w:color w:val="000000" w:themeColor="text1"/>
          <w:lang w:val="en-US"/>
        </w:rPr>
        <w:t>dt</w:t>
      </w:r>
      <w:r w:rsidR="005C6436" w:rsidRPr="00A945AB">
        <w:rPr>
          <w:rFonts w:ascii="Calibri" w:eastAsia="Calibri" w:hAnsi="Calibri" w:cs="Times New Roman"/>
          <w:color w:val="000000" w:themeColor="text1"/>
          <w:vertAlign w:val="subscript"/>
          <w:lang w:val="en-US"/>
        </w:rPr>
        <w:t>max</w:t>
      </w:r>
      <w:proofErr w:type="spellEnd"/>
      <w:r w:rsidR="005C6436" w:rsidRPr="00A945AB">
        <w:rPr>
          <w:rFonts w:ascii="Calibri" w:eastAsia="Calibri" w:hAnsi="Calibri" w:cs="Times New Roman"/>
          <w:color w:val="000000" w:themeColor="text1"/>
          <w:lang w:val="en-US"/>
        </w:rPr>
        <w:t>). Lower graphs show the APD at the 20, 50, 70 and 90% level of repolarization. The CMs were stimulated at frequencies from 1 Hz to 10 Hz.</w:t>
      </w:r>
      <w:r w:rsidR="007627BB" w:rsidRPr="00A945AB">
        <w:rPr>
          <w:rFonts w:ascii="Calibri" w:eastAsia="Calibri" w:hAnsi="Calibri" w:cs="Times New Roman"/>
          <w:color w:val="000000" w:themeColor="text1"/>
          <w:lang w:val="en-US"/>
        </w:rPr>
        <w:t xml:space="preserve"> Scale bar: 20 </w:t>
      </w:r>
      <w:proofErr w:type="spellStart"/>
      <w:r w:rsidR="007627BB" w:rsidRPr="00A945AB">
        <w:rPr>
          <w:rFonts w:ascii="Calibri" w:eastAsia="Calibri" w:hAnsi="Calibri" w:cs="Times New Roman"/>
          <w:color w:val="000000" w:themeColor="text1"/>
          <w:lang w:val="en-US"/>
        </w:rPr>
        <w:t>ms.</w:t>
      </w:r>
      <w:proofErr w:type="spellEnd"/>
      <w:r w:rsidR="005C6436" w:rsidRPr="00A945AB">
        <w:rPr>
          <w:rFonts w:ascii="Calibri" w:eastAsia="Calibri" w:hAnsi="Calibri" w:cs="Times New Roman"/>
          <w:color w:val="000000" w:themeColor="text1"/>
          <w:lang w:val="en-US"/>
        </w:rPr>
        <w:t xml:space="preserve"> </w:t>
      </w:r>
      <w:r w:rsidR="005C6436" w:rsidRPr="00A945AB">
        <w:rPr>
          <w:rFonts w:ascii="Calibri" w:eastAsia="Calibri" w:hAnsi="Calibri" w:cs="Times New Roman"/>
          <w:b/>
          <w:bCs/>
          <w:color w:val="000000" w:themeColor="text1"/>
          <w:lang w:val="en-US"/>
        </w:rPr>
        <w:t>B)</w:t>
      </w:r>
      <w:r w:rsidR="005C6436" w:rsidRPr="00A945AB">
        <w:rPr>
          <w:rFonts w:ascii="Calibri" w:eastAsia="Calibri" w:hAnsi="Calibri" w:cs="Times New Roman"/>
          <w:color w:val="000000" w:themeColor="text1"/>
          <w:lang w:val="en-US"/>
        </w:rPr>
        <w:t xml:space="preserve"> Graph showing the percentage of cells exhibiting EADs when stimulated at 4, 5 and 10 Hz in Control and Lgi4 CMs in the presence of ISO. Data are represented as mean</w:t>
      </w:r>
      <w:r w:rsidR="005C6436" w:rsidRPr="00A945AB">
        <w:rPr>
          <w:rFonts w:ascii="Calibri" w:eastAsia="Calibri" w:hAnsi="Calibri" w:cs="Times New Roman"/>
          <w:color w:val="000000" w:themeColor="text1"/>
          <w:lang w:val="en-US"/>
        </w:rPr>
        <w:sym w:font="Symbol" w:char="F0B1"/>
      </w:r>
      <w:r w:rsidR="005C6436" w:rsidRPr="00A945AB">
        <w:rPr>
          <w:rFonts w:ascii="Calibri" w:eastAsia="Calibri" w:hAnsi="Calibri" w:cs="Times New Roman"/>
          <w:color w:val="000000" w:themeColor="text1"/>
          <w:lang w:val="en-US"/>
        </w:rPr>
        <w:t xml:space="preserve">SEM (N=2-3, n=4-6). </w:t>
      </w:r>
      <w:r w:rsidR="005C6436" w:rsidRPr="00A945AB">
        <w:rPr>
          <w:rFonts w:ascii="Calibri" w:eastAsia="Calibri" w:hAnsi="Calibri" w:cs="Times New Roman"/>
          <w:b/>
          <w:bCs/>
          <w:color w:val="000000" w:themeColor="text1"/>
          <w:lang w:val="en-US"/>
        </w:rPr>
        <w:t>C)</w:t>
      </w:r>
      <w:r w:rsidR="005C6436" w:rsidRPr="00A945AB">
        <w:rPr>
          <w:rFonts w:ascii="Calibri" w:eastAsia="Calibri" w:hAnsi="Calibri" w:cs="Times New Roman"/>
          <w:color w:val="000000" w:themeColor="text1"/>
          <w:lang w:val="en-US"/>
        </w:rPr>
        <w:t xml:space="preserve"> Current-voltage relationship of </w:t>
      </w:r>
      <w:proofErr w:type="spellStart"/>
      <w:r w:rsidR="005C6436" w:rsidRPr="00A945AB">
        <w:rPr>
          <w:rFonts w:ascii="Calibri" w:eastAsia="Calibri" w:hAnsi="Calibri" w:cs="Times New Roman"/>
          <w:i/>
          <w:iCs/>
          <w:color w:val="000000" w:themeColor="text1"/>
          <w:lang w:val="en-US"/>
        </w:rPr>
        <w:t>I</w:t>
      </w:r>
      <w:r w:rsidR="005C6436" w:rsidRPr="00A945AB">
        <w:rPr>
          <w:rFonts w:ascii="Calibri" w:eastAsia="Calibri" w:hAnsi="Calibri" w:cs="Times New Roman"/>
          <w:color w:val="000000" w:themeColor="text1"/>
          <w:vertAlign w:val="subscript"/>
          <w:lang w:val="en-US"/>
        </w:rPr>
        <w:t>Kur</w:t>
      </w:r>
      <w:proofErr w:type="spellEnd"/>
      <w:r w:rsidR="005C6436" w:rsidRPr="00A945AB">
        <w:rPr>
          <w:rFonts w:ascii="Calibri" w:eastAsia="Calibri" w:hAnsi="Calibri" w:cs="Times New Roman"/>
          <w:color w:val="000000" w:themeColor="text1"/>
          <w:lang w:val="en-US"/>
        </w:rPr>
        <w:t xml:space="preserve"> in the absence and in the presence of ISO (1 µM). Values are represented as mean</w:t>
      </w:r>
      <w:r w:rsidR="005C6436" w:rsidRPr="00A945AB">
        <w:rPr>
          <w:rFonts w:ascii="Calibri" w:eastAsia="Calibri" w:hAnsi="Calibri" w:cs="Times New Roman"/>
          <w:color w:val="000000" w:themeColor="text1"/>
          <w:lang w:val="en-US"/>
        </w:rPr>
        <w:sym w:font="Symbol" w:char="F0B1"/>
      </w:r>
      <w:r w:rsidR="005C6436" w:rsidRPr="00A945AB">
        <w:rPr>
          <w:rFonts w:ascii="Calibri" w:eastAsia="Calibri" w:hAnsi="Calibri" w:cs="Times New Roman"/>
          <w:color w:val="000000" w:themeColor="text1"/>
          <w:lang w:val="en-US"/>
        </w:rPr>
        <w:t>SEM (N=2-3, n=4-6). (Paired t-test were performed when comparing the absence and the presence of ISO in each group (#</w:t>
      </w:r>
      <w:r w:rsidR="005C6436" w:rsidRPr="00A945AB">
        <w:rPr>
          <w:rFonts w:ascii="Calibri" w:eastAsia="Calibri" w:hAnsi="Calibri" w:cs="Times New Roman"/>
          <w:i/>
          <w:iCs/>
          <w:color w:val="000000" w:themeColor="text1"/>
          <w:lang w:val="en-US"/>
        </w:rPr>
        <w:t>p</w:t>
      </w:r>
      <w:r w:rsidR="005C6436" w:rsidRPr="00A945AB">
        <w:rPr>
          <w:rFonts w:ascii="Calibri" w:eastAsia="Calibri" w:hAnsi="Calibri" w:cs="Times New Roman"/>
          <w:color w:val="000000" w:themeColor="text1"/>
          <w:lang w:val="en-US"/>
        </w:rPr>
        <w:t xml:space="preserve"> &lt; 0.05) and Two-way ANOVA with Sidaks multiple comparison when comparing all the groups between each other. Non-paired t-test were performed to compare </w:t>
      </w:r>
      <w:proofErr w:type="spellStart"/>
      <w:r w:rsidR="005C6436" w:rsidRPr="00A945AB">
        <w:rPr>
          <w:rFonts w:ascii="Calibri" w:eastAsia="Calibri" w:hAnsi="Calibri" w:cs="Times New Roman"/>
          <w:i/>
          <w:iCs/>
          <w:color w:val="000000" w:themeColor="text1"/>
          <w:lang w:val="en-US"/>
        </w:rPr>
        <w:t>I</w:t>
      </w:r>
      <w:r w:rsidR="005C6436" w:rsidRPr="00A945AB">
        <w:rPr>
          <w:rFonts w:ascii="Calibri" w:eastAsia="Calibri" w:hAnsi="Calibri" w:cs="Times New Roman"/>
          <w:color w:val="000000" w:themeColor="text1"/>
          <w:vertAlign w:val="subscript"/>
          <w:lang w:val="en-US"/>
        </w:rPr>
        <w:t>Kur</w:t>
      </w:r>
      <w:proofErr w:type="spellEnd"/>
      <w:r w:rsidR="005C6436" w:rsidRPr="00A945AB">
        <w:rPr>
          <w:rFonts w:ascii="Calibri" w:eastAsia="Calibri" w:hAnsi="Calibri" w:cs="Times New Roman"/>
          <w:color w:val="000000" w:themeColor="text1"/>
          <w:lang w:val="en-US"/>
        </w:rPr>
        <w:t xml:space="preserve"> in the presence and the absence of ISO (C, *</w:t>
      </w:r>
      <w:r w:rsidR="005C6436" w:rsidRPr="00A945AB">
        <w:rPr>
          <w:rFonts w:ascii="Calibri" w:eastAsia="Calibri" w:hAnsi="Calibri" w:cs="Times New Roman"/>
          <w:i/>
          <w:iCs/>
          <w:color w:val="000000" w:themeColor="text1"/>
          <w:lang w:val="en-US"/>
        </w:rPr>
        <w:t>p</w:t>
      </w:r>
      <w:r w:rsidR="005C6436" w:rsidRPr="00A945AB">
        <w:rPr>
          <w:rFonts w:ascii="Calibri" w:eastAsia="Calibri" w:hAnsi="Calibri" w:cs="Times New Roman"/>
          <w:color w:val="000000" w:themeColor="text1"/>
          <w:lang w:val="en-US"/>
        </w:rPr>
        <w:t xml:space="preserve"> &lt; 0.05).</w:t>
      </w:r>
    </w:p>
    <w:p w14:paraId="3C8B8E30" w14:textId="77777777" w:rsidR="00F57BEE" w:rsidRPr="00A945AB" w:rsidRDefault="00F57BEE">
      <w:pPr>
        <w:spacing w:after="160" w:line="259" w:lineRule="auto"/>
        <w:rPr>
          <w:rFonts w:ascii="Calibri" w:eastAsia="Calibri" w:hAnsi="Calibri" w:cs="Times New Roman"/>
          <w:b/>
          <w:bCs/>
          <w:color w:val="000000" w:themeColor="text1"/>
          <w:lang w:val="en-US"/>
        </w:rPr>
      </w:pPr>
      <w:r w:rsidRPr="00A945AB">
        <w:rPr>
          <w:rFonts w:ascii="Calibri" w:eastAsia="Calibri" w:hAnsi="Calibri" w:cs="Times New Roman"/>
          <w:b/>
          <w:bCs/>
          <w:color w:val="000000" w:themeColor="text1"/>
          <w:lang w:val="en-US"/>
        </w:rPr>
        <w:br w:type="page"/>
      </w:r>
    </w:p>
    <w:p w14:paraId="5E5B2766" w14:textId="6C3232FB" w:rsidR="002072D1" w:rsidRPr="00A945AB" w:rsidRDefault="003402EB" w:rsidP="00FA218B">
      <w:pPr>
        <w:jc w:val="both"/>
        <w:rPr>
          <w:rFonts w:ascii="Calibri" w:eastAsia="Calibri" w:hAnsi="Calibri" w:cs="Times New Roman"/>
          <w:b/>
          <w:bCs/>
          <w:color w:val="000000" w:themeColor="text1"/>
          <w:lang w:val="en-US"/>
        </w:rPr>
      </w:pPr>
      <w:r w:rsidRPr="001E7605">
        <w:rPr>
          <w:noProof/>
        </w:rPr>
        <w:lastRenderedPageBreak/>
        <w:drawing>
          <wp:inline distT="0" distB="0" distL="0" distR="0" wp14:anchorId="7A97451B" wp14:editId="52E155D6">
            <wp:extent cx="5730978" cy="4749627"/>
            <wp:effectExtent l="0" t="0" r="3175" b="0"/>
            <wp:docPr id="193485210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042" b="34522"/>
                    <a:stretch>
                      <a:fillRect/>
                    </a:stretch>
                  </pic:blipFill>
                  <pic:spPr bwMode="auto">
                    <a:xfrm>
                      <a:off x="0" y="0"/>
                      <a:ext cx="5731510" cy="4750068"/>
                    </a:xfrm>
                    <a:prstGeom prst="rect">
                      <a:avLst/>
                    </a:prstGeom>
                    <a:noFill/>
                    <a:ln>
                      <a:noFill/>
                    </a:ln>
                    <a:extLst>
                      <a:ext uri="{53640926-AAD7-44D8-BBD7-CCE9431645EC}">
                        <a14:shadowObscured xmlns:a14="http://schemas.microsoft.com/office/drawing/2010/main"/>
                      </a:ext>
                    </a:extLst>
                  </pic:spPr>
                </pic:pic>
              </a:graphicData>
            </a:graphic>
          </wp:inline>
        </w:drawing>
      </w:r>
      <w:r w:rsidR="002072D1" w:rsidRPr="005D6169">
        <w:rPr>
          <w:rFonts w:ascii="Calibri" w:eastAsia="Calibri" w:hAnsi="Calibri" w:cs="Times New Roman"/>
          <w:b/>
          <w:bCs/>
          <w:color w:val="000000" w:themeColor="text1"/>
          <w:lang w:val="en-US"/>
        </w:rPr>
        <w:t xml:space="preserve">Figure </w:t>
      </w:r>
      <w:r w:rsidR="00BC53C8" w:rsidRPr="005D6169">
        <w:rPr>
          <w:rFonts w:ascii="Calibri" w:eastAsia="Calibri" w:hAnsi="Calibri" w:cs="Times New Roman"/>
          <w:b/>
          <w:bCs/>
          <w:color w:val="000000" w:themeColor="text1"/>
          <w:lang w:val="en-US"/>
        </w:rPr>
        <w:t>S10</w:t>
      </w:r>
      <w:r w:rsidR="002072D1" w:rsidRPr="005D6169">
        <w:rPr>
          <w:rFonts w:ascii="Calibri" w:eastAsia="Calibri" w:hAnsi="Calibri" w:cs="Times New Roman"/>
          <w:b/>
          <w:bCs/>
          <w:color w:val="000000" w:themeColor="text1"/>
          <w:lang w:val="en-US"/>
        </w:rPr>
        <w:t xml:space="preserve">. </w:t>
      </w:r>
      <w:r w:rsidR="002072D1" w:rsidRPr="005D6169">
        <w:rPr>
          <w:rFonts w:cstheme="minorHAnsi"/>
          <w:b/>
          <w:bCs/>
          <w:color w:val="000000" w:themeColor="text1"/>
          <w:lang w:val="en-US"/>
        </w:rPr>
        <w:t>Lgi3-4</w:t>
      </w:r>
      <w:r w:rsidR="002072D1" w:rsidRPr="00A945AB">
        <w:rPr>
          <w:rFonts w:cstheme="minorHAnsi"/>
          <w:b/>
          <w:bCs/>
          <w:color w:val="000000" w:themeColor="text1"/>
          <w:lang w:val="en-US"/>
        </w:rPr>
        <w:t xml:space="preserve"> do not modify ER retention, forward trafficking or recycling of K</w:t>
      </w:r>
      <w:r w:rsidR="002072D1" w:rsidRPr="00A945AB">
        <w:rPr>
          <w:rFonts w:cstheme="minorHAnsi"/>
          <w:b/>
          <w:bCs/>
          <w:color w:val="000000" w:themeColor="text1"/>
          <w:vertAlign w:val="subscript"/>
          <w:lang w:val="en-US"/>
        </w:rPr>
        <w:t>V</w:t>
      </w:r>
      <w:r w:rsidR="002072D1" w:rsidRPr="00A945AB">
        <w:rPr>
          <w:rFonts w:cstheme="minorHAnsi"/>
          <w:b/>
          <w:bCs/>
          <w:color w:val="000000" w:themeColor="text1"/>
          <w:lang w:val="en-US"/>
        </w:rPr>
        <w:t>1.5.</w:t>
      </w:r>
      <w:r w:rsidR="002072D1" w:rsidRPr="00A945AB">
        <w:rPr>
          <w:rFonts w:cstheme="minorHAnsi"/>
          <w:color w:val="000000" w:themeColor="text1"/>
          <w:lang w:val="en-US"/>
        </w:rPr>
        <w:t xml:space="preserve"> Representative confocal images of HEK293 cells </w:t>
      </w:r>
      <w:proofErr w:type="spellStart"/>
      <w:r w:rsidR="002072D1" w:rsidRPr="00A945AB">
        <w:rPr>
          <w:rFonts w:cstheme="minorHAnsi"/>
          <w:color w:val="000000" w:themeColor="text1"/>
          <w:lang w:val="en-US"/>
        </w:rPr>
        <w:t>cotransfected</w:t>
      </w:r>
      <w:proofErr w:type="spellEnd"/>
      <w:r w:rsidR="002072D1" w:rsidRPr="00A945AB">
        <w:rPr>
          <w:rFonts w:cstheme="minorHAnsi"/>
          <w:color w:val="000000" w:themeColor="text1"/>
          <w:lang w:val="en-US"/>
        </w:rPr>
        <w:t xml:space="preserve"> with K</w:t>
      </w:r>
      <w:r w:rsidR="002072D1" w:rsidRPr="00A945AB">
        <w:rPr>
          <w:rFonts w:cstheme="minorHAnsi"/>
          <w:color w:val="000000" w:themeColor="text1"/>
          <w:vertAlign w:val="subscript"/>
          <w:lang w:val="en-US"/>
        </w:rPr>
        <w:t>V</w:t>
      </w:r>
      <w:r w:rsidR="002072D1" w:rsidRPr="00A945AB">
        <w:rPr>
          <w:rFonts w:cstheme="minorHAnsi"/>
          <w:color w:val="000000" w:themeColor="text1"/>
          <w:lang w:val="en-US"/>
        </w:rPr>
        <w:t>1.5 and K</w:t>
      </w:r>
      <w:r w:rsidR="002072D1" w:rsidRPr="00A945AB">
        <w:rPr>
          <w:rFonts w:cstheme="minorHAnsi"/>
          <w:color w:val="000000" w:themeColor="text1"/>
          <w:vertAlign w:val="subscript"/>
          <w:lang w:val="en-US"/>
        </w:rPr>
        <w:t>V</w:t>
      </w:r>
      <w:r w:rsidR="002072D1" w:rsidRPr="00A945AB">
        <w:rPr>
          <w:rFonts w:cstheme="minorHAnsi"/>
          <w:color w:val="000000" w:themeColor="text1"/>
        </w:rPr>
        <w:t>β</w:t>
      </w:r>
      <w:r w:rsidR="002072D1" w:rsidRPr="00A945AB">
        <w:rPr>
          <w:rFonts w:cstheme="minorHAnsi"/>
          <w:color w:val="000000" w:themeColor="text1"/>
          <w:lang w:val="en-US"/>
        </w:rPr>
        <w:t>1.2 in the absence (upper panels) or the presence of Lgi4 (lower panels), and stained against K</w:t>
      </w:r>
      <w:r w:rsidR="002072D1" w:rsidRPr="00A945AB">
        <w:rPr>
          <w:rFonts w:cstheme="minorHAnsi"/>
          <w:color w:val="000000" w:themeColor="text1"/>
          <w:vertAlign w:val="subscript"/>
          <w:lang w:val="en-US"/>
        </w:rPr>
        <w:t>V</w:t>
      </w:r>
      <w:r w:rsidR="002072D1" w:rsidRPr="00A945AB">
        <w:rPr>
          <w:rFonts w:cstheme="minorHAnsi"/>
          <w:color w:val="000000" w:themeColor="text1"/>
          <w:lang w:val="en-US"/>
        </w:rPr>
        <w:t xml:space="preserve">1.5, Lgi4 and </w:t>
      </w:r>
      <w:proofErr w:type="spellStart"/>
      <w:r w:rsidR="002072D1" w:rsidRPr="00A945AB">
        <w:rPr>
          <w:rFonts w:cstheme="minorHAnsi"/>
          <w:color w:val="000000" w:themeColor="text1"/>
          <w:lang w:val="en-US"/>
        </w:rPr>
        <w:t>DsRed</w:t>
      </w:r>
      <w:proofErr w:type="spellEnd"/>
      <w:r w:rsidR="002072D1" w:rsidRPr="00A945AB">
        <w:rPr>
          <w:rFonts w:cstheme="minorHAnsi"/>
          <w:color w:val="000000" w:themeColor="text1"/>
          <w:lang w:val="en-US"/>
        </w:rPr>
        <w:t xml:space="preserve"> (</w:t>
      </w:r>
      <w:r w:rsidR="002072D1" w:rsidRPr="00A945AB">
        <w:rPr>
          <w:rFonts w:cstheme="minorHAnsi"/>
          <w:b/>
          <w:bCs/>
          <w:color w:val="000000" w:themeColor="text1"/>
          <w:lang w:val="en-US"/>
        </w:rPr>
        <w:t>A</w:t>
      </w:r>
      <w:r w:rsidR="002072D1" w:rsidRPr="00A945AB">
        <w:rPr>
          <w:rFonts w:cstheme="minorHAnsi"/>
          <w:color w:val="000000" w:themeColor="text1"/>
          <w:lang w:val="en-US"/>
        </w:rPr>
        <w:t>), Rab8 (</w:t>
      </w:r>
      <w:r w:rsidR="002072D1" w:rsidRPr="00A945AB">
        <w:rPr>
          <w:rFonts w:cstheme="minorHAnsi"/>
          <w:b/>
          <w:bCs/>
          <w:color w:val="000000" w:themeColor="text1"/>
          <w:lang w:val="en-US"/>
        </w:rPr>
        <w:t>B</w:t>
      </w:r>
      <w:r w:rsidR="002072D1" w:rsidRPr="00A945AB">
        <w:rPr>
          <w:rFonts w:cstheme="minorHAnsi"/>
          <w:color w:val="000000" w:themeColor="text1"/>
          <w:lang w:val="en-US"/>
        </w:rPr>
        <w:t>) and Rab11 (</w:t>
      </w:r>
      <w:r w:rsidR="002072D1" w:rsidRPr="00A945AB">
        <w:rPr>
          <w:rFonts w:cstheme="minorHAnsi"/>
          <w:b/>
          <w:bCs/>
          <w:color w:val="000000" w:themeColor="text1"/>
          <w:lang w:val="en-US"/>
        </w:rPr>
        <w:t>C</w:t>
      </w:r>
      <w:r w:rsidR="002072D1" w:rsidRPr="00A945AB">
        <w:rPr>
          <w:rFonts w:cstheme="minorHAnsi"/>
          <w:color w:val="000000" w:themeColor="text1"/>
          <w:lang w:val="en-US"/>
        </w:rPr>
        <w:t>) with the PCC between K</w:t>
      </w:r>
      <w:r w:rsidR="002072D1" w:rsidRPr="00A945AB">
        <w:rPr>
          <w:rFonts w:cstheme="minorHAnsi"/>
          <w:color w:val="000000" w:themeColor="text1"/>
          <w:vertAlign w:val="subscript"/>
          <w:lang w:val="en-US"/>
        </w:rPr>
        <w:t>V</w:t>
      </w:r>
      <w:r w:rsidR="002072D1" w:rsidRPr="00A945AB">
        <w:rPr>
          <w:rFonts w:cstheme="minorHAnsi"/>
          <w:color w:val="000000" w:themeColor="text1"/>
          <w:lang w:val="en-US"/>
        </w:rPr>
        <w:t>1.5 and the corresponding marker shown in the right bar graph. Data represent mean</w:t>
      </w:r>
      <w:r w:rsidR="002072D1" w:rsidRPr="00A945AB">
        <w:rPr>
          <w:rFonts w:cstheme="minorHAnsi"/>
          <w:color w:val="000000" w:themeColor="text1"/>
        </w:rPr>
        <w:sym w:font="Symbol" w:char="F0B1"/>
      </w:r>
      <w:r w:rsidR="002072D1" w:rsidRPr="00A945AB">
        <w:rPr>
          <w:rFonts w:cstheme="minorHAnsi"/>
          <w:color w:val="000000" w:themeColor="text1"/>
          <w:lang w:val="en-US"/>
        </w:rPr>
        <w:t>SEM of n=</w:t>
      </w:r>
      <w:r w:rsidR="00CA561D" w:rsidRPr="00A945AB">
        <w:rPr>
          <w:rFonts w:cstheme="minorHAnsi"/>
          <w:color w:val="000000" w:themeColor="text1"/>
          <w:lang w:val="en-US"/>
        </w:rPr>
        <w:t>9</w:t>
      </w:r>
      <w:r w:rsidR="002072D1" w:rsidRPr="00A945AB">
        <w:rPr>
          <w:rFonts w:cstheme="minorHAnsi"/>
          <w:color w:val="000000" w:themeColor="text1"/>
          <w:lang w:val="en-US"/>
        </w:rPr>
        <w:t>-</w:t>
      </w:r>
      <w:r w:rsidR="00BE3D0F" w:rsidRPr="00A945AB">
        <w:rPr>
          <w:rFonts w:cstheme="minorHAnsi"/>
          <w:color w:val="000000" w:themeColor="text1"/>
          <w:lang w:val="en-US"/>
        </w:rPr>
        <w:t>24</w:t>
      </w:r>
      <w:r w:rsidR="002072D1" w:rsidRPr="00A945AB">
        <w:rPr>
          <w:rFonts w:cstheme="minorHAnsi"/>
          <w:color w:val="000000" w:themeColor="text1"/>
          <w:lang w:val="en-US"/>
        </w:rPr>
        <w:t>.</w:t>
      </w:r>
      <w:r w:rsidR="00CA561D" w:rsidRPr="00A945AB">
        <w:rPr>
          <w:rFonts w:cstheme="minorHAnsi"/>
          <w:color w:val="000000" w:themeColor="text1"/>
          <w:lang w:val="en-US"/>
        </w:rPr>
        <w:t xml:space="preserve"> Scale bar: 20 µm.</w:t>
      </w:r>
    </w:p>
    <w:p w14:paraId="282A803B" w14:textId="77777777" w:rsidR="003402EB" w:rsidRPr="00A945AB" w:rsidRDefault="003402EB">
      <w:pPr>
        <w:spacing w:after="160" w:line="259" w:lineRule="auto"/>
        <w:rPr>
          <w:rFonts w:ascii="Calibri" w:eastAsia="Calibri" w:hAnsi="Calibri" w:cs="Times New Roman"/>
          <w:b/>
          <w:bCs/>
          <w:color w:val="000000" w:themeColor="text1"/>
          <w:lang w:val="en-US"/>
        </w:rPr>
      </w:pPr>
      <w:r w:rsidRPr="00A945AB">
        <w:rPr>
          <w:rFonts w:ascii="Calibri" w:eastAsia="Calibri" w:hAnsi="Calibri" w:cs="Times New Roman"/>
          <w:b/>
          <w:bCs/>
          <w:color w:val="000000" w:themeColor="text1"/>
          <w:lang w:val="en-US"/>
        </w:rPr>
        <w:br w:type="page"/>
      </w:r>
    </w:p>
    <w:p w14:paraId="6718B766" w14:textId="1A859530" w:rsidR="00FA218B" w:rsidRPr="00A945AB" w:rsidRDefault="00275477" w:rsidP="00FA218B">
      <w:pPr>
        <w:jc w:val="both"/>
        <w:rPr>
          <w:rFonts w:ascii="Calibri" w:eastAsia="Calibri" w:hAnsi="Calibri" w:cs="Times New Roman"/>
          <w:color w:val="000000" w:themeColor="text1"/>
          <w:lang w:val="en-US"/>
        </w:rPr>
      </w:pPr>
      <w:r w:rsidRPr="001E7605">
        <w:rPr>
          <w:noProof/>
        </w:rPr>
        <w:lastRenderedPageBreak/>
        <w:drawing>
          <wp:inline distT="0" distB="0" distL="0" distR="0" wp14:anchorId="767B17FB" wp14:editId="23CA3BF5">
            <wp:extent cx="5731164" cy="4868883"/>
            <wp:effectExtent l="0" t="0" r="3175" b="8255"/>
            <wp:docPr id="7243449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0913" b="30211"/>
                    <a:stretch>
                      <a:fillRect/>
                    </a:stretch>
                  </pic:blipFill>
                  <pic:spPr bwMode="auto">
                    <a:xfrm>
                      <a:off x="0" y="0"/>
                      <a:ext cx="5731510" cy="4869177"/>
                    </a:xfrm>
                    <a:prstGeom prst="rect">
                      <a:avLst/>
                    </a:prstGeom>
                    <a:noFill/>
                    <a:ln>
                      <a:noFill/>
                    </a:ln>
                    <a:extLst>
                      <a:ext uri="{53640926-AAD7-44D8-BBD7-CCE9431645EC}">
                        <a14:shadowObscured xmlns:a14="http://schemas.microsoft.com/office/drawing/2010/main"/>
                      </a:ext>
                    </a:extLst>
                  </pic:spPr>
                </pic:pic>
              </a:graphicData>
            </a:graphic>
          </wp:inline>
        </w:drawing>
      </w:r>
      <w:r w:rsidR="00FA218B" w:rsidRPr="005D6169">
        <w:rPr>
          <w:rFonts w:ascii="Calibri" w:eastAsia="Calibri" w:hAnsi="Calibri" w:cs="Times New Roman"/>
          <w:b/>
          <w:bCs/>
          <w:color w:val="000000" w:themeColor="text1"/>
          <w:lang w:val="en-US"/>
        </w:rPr>
        <w:t xml:space="preserve">Figure </w:t>
      </w:r>
      <w:r w:rsidR="00BC53C8" w:rsidRPr="005D6169">
        <w:rPr>
          <w:rFonts w:ascii="Calibri" w:eastAsia="Calibri" w:hAnsi="Calibri" w:cs="Times New Roman"/>
          <w:b/>
          <w:bCs/>
          <w:color w:val="000000" w:themeColor="text1"/>
          <w:lang w:val="en-US"/>
        </w:rPr>
        <w:t>S11</w:t>
      </w:r>
      <w:r w:rsidR="00FA218B" w:rsidRPr="005D6169">
        <w:rPr>
          <w:rFonts w:ascii="Calibri" w:eastAsia="Calibri" w:hAnsi="Calibri" w:cs="Times New Roman"/>
          <w:b/>
          <w:bCs/>
          <w:color w:val="000000" w:themeColor="text1"/>
          <w:lang w:val="en-US"/>
        </w:rPr>
        <w:t>. Lgi3-4 do not</w:t>
      </w:r>
      <w:r w:rsidR="00FA218B" w:rsidRPr="00A945AB">
        <w:rPr>
          <w:rFonts w:ascii="Calibri" w:eastAsia="Calibri" w:hAnsi="Calibri" w:cs="Times New Roman"/>
          <w:b/>
          <w:bCs/>
          <w:color w:val="000000" w:themeColor="text1"/>
          <w:lang w:val="en-US"/>
        </w:rPr>
        <w:t xml:space="preserve"> modify the voltage-dependence of the N-type inactivation induced by K</w:t>
      </w:r>
      <w:r w:rsidR="00FA218B" w:rsidRPr="00A945AB">
        <w:rPr>
          <w:rFonts w:ascii="Calibri" w:eastAsia="Calibri" w:hAnsi="Calibri" w:cs="Times New Roman"/>
          <w:b/>
          <w:bCs/>
          <w:color w:val="000000" w:themeColor="text1"/>
          <w:vertAlign w:val="subscript"/>
          <w:lang w:val="en-US"/>
        </w:rPr>
        <w:t>V</w:t>
      </w:r>
      <w:r w:rsidR="00FA218B" w:rsidRPr="00A945AB">
        <w:rPr>
          <w:rFonts w:ascii="Calibri" w:eastAsia="Calibri" w:hAnsi="Calibri" w:cs="Times New Roman"/>
          <w:b/>
          <w:bCs/>
          <w:color w:val="000000" w:themeColor="text1"/>
          <w:lang w:val="en-US"/>
        </w:rPr>
        <w:t>β1 on K</w:t>
      </w:r>
      <w:r w:rsidR="00FA218B" w:rsidRPr="00A945AB">
        <w:rPr>
          <w:rFonts w:ascii="Calibri" w:eastAsia="Calibri" w:hAnsi="Calibri" w:cs="Times New Roman"/>
          <w:b/>
          <w:bCs/>
          <w:color w:val="000000" w:themeColor="text1"/>
          <w:vertAlign w:val="subscript"/>
          <w:lang w:val="en-US"/>
        </w:rPr>
        <w:t>V</w:t>
      </w:r>
      <w:r w:rsidR="00FA218B" w:rsidRPr="00A945AB">
        <w:rPr>
          <w:rFonts w:ascii="Calibri" w:eastAsia="Calibri" w:hAnsi="Calibri" w:cs="Times New Roman"/>
          <w:b/>
          <w:bCs/>
          <w:color w:val="000000" w:themeColor="text1"/>
          <w:lang w:val="en-US"/>
        </w:rPr>
        <w:t xml:space="preserve">1.5 channels. A) </w:t>
      </w:r>
      <w:r w:rsidR="00FA218B" w:rsidRPr="00A945AB">
        <w:rPr>
          <w:rFonts w:ascii="Calibri" w:eastAsia="Calibri" w:hAnsi="Calibri" w:cs="Times New Roman"/>
          <w:color w:val="000000" w:themeColor="text1"/>
          <w:lang w:val="en-US"/>
        </w:rPr>
        <w:t xml:space="preserve">Representative traces of the voltage-dependence of inactivation after applying a 10 </w:t>
      </w:r>
      <w:proofErr w:type="spellStart"/>
      <w:r w:rsidR="00FA218B" w:rsidRPr="00A945AB">
        <w:rPr>
          <w:rFonts w:ascii="Calibri" w:eastAsia="Calibri" w:hAnsi="Calibri" w:cs="Times New Roman"/>
          <w:color w:val="000000" w:themeColor="text1"/>
          <w:lang w:val="en-US"/>
        </w:rPr>
        <w:t>ms</w:t>
      </w:r>
      <w:proofErr w:type="spellEnd"/>
      <w:r w:rsidR="00FA218B" w:rsidRPr="00A945AB">
        <w:rPr>
          <w:rFonts w:ascii="Calibri" w:eastAsia="Calibri" w:hAnsi="Calibri" w:cs="Times New Roman"/>
          <w:color w:val="000000" w:themeColor="text1"/>
          <w:lang w:val="en-US"/>
        </w:rPr>
        <w:t xml:space="preserve"> pulse in K</w:t>
      </w:r>
      <w:r w:rsidR="00FA218B" w:rsidRPr="00A945AB">
        <w:rPr>
          <w:rFonts w:ascii="Calibri" w:eastAsia="Calibri" w:hAnsi="Calibri" w:cs="Times New Roman"/>
          <w:color w:val="000000" w:themeColor="text1"/>
          <w:vertAlign w:val="subscript"/>
          <w:lang w:val="en-US"/>
        </w:rPr>
        <w:t>V</w:t>
      </w:r>
      <w:r w:rsidR="00FA218B" w:rsidRPr="00A945AB">
        <w:rPr>
          <w:rFonts w:ascii="Calibri" w:eastAsia="Calibri" w:hAnsi="Calibri" w:cs="Times New Roman"/>
          <w:color w:val="000000" w:themeColor="text1"/>
          <w:lang w:val="en-US"/>
        </w:rPr>
        <w:t>1.5/K</w:t>
      </w:r>
      <w:r w:rsidR="00FA218B" w:rsidRPr="00A945AB">
        <w:rPr>
          <w:rFonts w:ascii="Calibri" w:eastAsia="Calibri" w:hAnsi="Calibri" w:cs="Times New Roman"/>
          <w:color w:val="000000" w:themeColor="text1"/>
          <w:vertAlign w:val="subscript"/>
          <w:lang w:val="en-US"/>
        </w:rPr>
        <w:t>V</w:t>
      </w:r>
      <w:r w:rsidR="00FA218B" w:rsidRPr="00A945AB">
        <w:rPr>
          <w:rFonts w:ascii="Calibri" w:eastAsia="Calibri" w:hAnsi="Calibri" w:cs="Times New Roman"/>
          <w:color w:val="000000" w:themeColor="text1"/>
          <w:lang w:val="en-US"/>
        </w:rPr>
        <w:t>β1.3 (upper panel, n=11-13) or K</w:t>
      </w:r>
      <w:r w:rsidR="00FA218B" w:rsidRPr="00A945AB">
        <w:rPr>
          <w:rFonts w:ascii="Calibri" w:eastAsia="Calibri" w:hAnsi="Calibri" w:cs="Times New Roman"/>
          <w:color w:val="000000" w:themeColor="text1"/>
          <w:vertAlign w:val="subscript"/>
          <w:lang w:val="en-US"/>
        </w:rPr>
        <w:t>V</w:t>
      </w:r>
      <w:r w:rsidR="00FA218B" w:rsidRPr="00A945AB">
        <w:rPr>
          <w:rFonts w:ascii="Calibri" w:eastAsia="Calibri" w:hAnsi="Calibri" w:cs="Times New Roman"/>
          <w:color w:val="000000" w:themeColor="text1"/>
          <w:lang w:val="en-US"/>
        </w:rPr>
        <w:t>1.5/K</w:t>
      </w:r>
      <w:r w:rsidR="00FA218B" w:rsidRPr="00A945AB">
        <w:rPr>
          <w:rFonts w:ascii="Calibri" w:eastAsia="Calibri" w:hAnsi="Calibri" w:cs="Times New Roman"/>
          <w:color w:val="000000" w:themeColor="text1"/>
          <w:vertAlign w:val="subscript"/>
          <w:lang w:val="en-US"/>
        </w:rPr>
        <w:t>V</w:t>
      </w:r>
      <w:r w:rsidR="00FA218B" w:rsidRPr="00A945AB">
        <w:rPr>
          <w:rFonts w:ascii="Calibri" w:eastAsia="Calibri" w:hAnsi="Calibri" w:cs="Times New Roman"/>
          <w:color w:val="000000" w:themeColor="text1"/>
          <w:lang w:val="en-US"/>
        </w:rPr>
        <w:t>β1.2 (bottom panel, n=10-11) in the absence and the presence of Lgi3 or Lgi4. Current was measured at the +50 (K</w:t>
      </w:r>
      <w:r w:rsidR="00FA218B" w:rsidRPr="00A945AB">
        <w:rPr>
          <w:rFonts w:ascii="Calibri" w:eastAsia="Calibri" w:hAnsi="Calibri" w:cs="Times New Roman"/>
          <w:color w:val="000000" w:themeColor="text1"/>
          <w:vertAlign w:val="subscript"/>
          <w:lang w:val="en-US"/>
        </w:rPr>
        <w:t>V</w:t>
      </w:r>
      <w:r w:rsidR="00FA218B" w:rsidRPr="00A945AB">
        <w:rPr>
          <w:rFonts w:ascii="Calibri" w:eastAsia="Calibri" w:hAnsi="Calibri" w:cs="Times New Roman"/>
          <w:color w:val="000000" w:themeColor="text1"/>
          <w:lang w:val="en-US"/>
        </w:rPr>
        <w:t>β1.3) or +100 mV (K</w:t>
      </w:r>
      <w:r w:rsidR="00FA218B" w:rsidRPr="00A945AB">
        <w:rPr>
          <w:rFonts w:ascii="Calibri" w:eastAsia="Calibri" w:hAnsi="Calibri" w:cs="Times New Roman"/>
          <w:color w:val="000000" w:themeColor="text1"/>
          <w:vertAlign w:val="subscript"/>
          <w:lang w:val="en-US"/>
        </w:rPr>
        <w:t>V</w:t>
      </w:r>
      <w:r w:rsidR="00FA218B" w:rsidRPr="00A945AB">
        <w:rPr>
          <w:rFonts w:ascii="Calibri" w:eastAsia="Calibri" w:hAnsi="Calibri" w:cs="Times New Roman"/>
          <w:color w:val="000000" w:themeColor="text1"/>
          <w:lang w:val="en-US"/>
        </w:rPr>
        <w:t xml:space="preserve">β1.2) pulse that follows the </w:t>
      </w:r>
      <w:proofErr w:type="spellStart"/>
      <w:r w:rsidR="00FA218B" w:rsidRPr="00A945AB">
        <w:rPr>
          <w:rFonts w:ascii="Calibri" w:eastAsia="Calibri" w:hAnsi="Calibri" w:cs="Times New Roman"/>
          <w:color w:val="000000" w:themeColor="text1"/>
          <w:lang w:val="en-US"/>
        </w:rPr>
        <w:t>prepulse</w:t>
      </w:r>
      <w:proofErr w:type="spellEnd"/>
      <w:r w:rsidR="00FA218B" w:rsidRPr="00A945AB">
        <w:rPr>
          <w:rFonts w:ascii="Calibri" w:eastAsia="Calibri" w:hAnsi="Calibri" w:cs="Times New Roman"/>
          <w:color w:val="000000" w:themeColor="text1"/>
          <w:lang w:val="en-US"/>
        </w:rPr>
        <w:t>.</w:t>
      </w:r>
      <w:r w:rsidR="00CA561D" w:rsidRPr="00A945AB">
        <w:rPr>
          <w:rFonts w:ascii="Calibri" w:eastAsia="Calibri" w:hAnsi="Calibri" w:cs="Times New Roman"/>
          <w:color w:val="000000" w:themeColor="text1"/>
          <w:lang w:val="en-US"/>
        </w:rPr>
        <w:t xml:space="preserve"> </w:t>
      </w:r>
      <w:r w:rsidR="00CA561D" w:rsidRPr="00A945AB">
        <w:rPr>
          <w:rFonts w:cstheme="minorHAnsi"/>
          <w:color w:val="000000" w:themeColor="text1"/>
          <w:lang w:val="en-GB"/>
        </w:rPr>
        <w:t xml:space="preserve">Scale bar: 10 </w:t>
      </w:r>
      <w:proofErr w:type="spellStart"/>
      <w:r w:rsidR="00CA561D" w:rsidRPr="00A945AB">
        <w:rPr>
          <w:rFonts w:cstheme="minorHAnsi"/>
          <w:color w:val="000000" w:themeColor="text1"/>
          <w:lang w:val="en-GB"/>
        </w:rPr>
        <w:t>ms</w:t>
      </w:r>
      <w:proofErr w:type="spellEnd"/>
      <w:r w:rsidR="00CA561D" w:rsidRPr="00A945AB">
        <w:rPr>
          <w:rFonts w:cstheme="minorHAnsi"/>
          <w:color w:val="000000" w:themeColor="text1"/>
          <w:lang w:val="en-GB"/>
        </w:rPr>
        <w:t xml:space="preserve"> in the </w:t>
      </w:r>
      <w:r w:rsidR="00CA561D" w:rsidRPr="00A945AB">
        <w:rPr>
          <w:rFonts w:cstheme="minorHAnsi"/>
          <w:i/>
          <w:iCs/>
          <w:color w:val="000000" w:themeColor="text1"/>
          <w:lang w:val="en-GB"/>
        </w:rPr>
        <w:t>x</w:t>
      </w:r>
      <w:r w:rsidR="00CA561D" w:rsidRPr="00A945AB">
        <w:rPr>
          <w:rFonts w:cstheme="minorHAnsi"/>
          <w:color w:val="000000" w:themeColor="text1"/>
          <w:lang w:val="en-GB"/>
        </w:rPr>
        <w:t xml:space="preserve"> axis and 500 </w:t>
      </w:r>
      <w:proofErr w:type="spellStart"/>
      <w:r w:rsidR="00CA561D" w:rsidRPr="00A945AB">
        <w:rPr>
          <w:rFonts w:cstheme="minorHAnsi"/>
          <w:color w:val="000000" w:themeColor="text1"/>
          <w:lang w:val="en-GB"/>
        </w:rPr>
        <w:t>pA</w:t>
      </w:r>
      <w:proofErr w:type="spellEnd"/>
      <w:r w:rsidR="00CA561D" w:rsidRPr="00A945AB">
        <w:rPr>
          <w:rFonts w:cstheme="minorHAnsi"/>
          <w:color w:val="000000" w:themeColor="text1"/>
          <w:lang w:val="en-GB"/>
        </w:rPr>
        <w:t xml:space="preserve"> in the </w:t>
      </w:r>
      <w:r w:rsidR="00CA561D" w:rsidRPr="00A945AB">
        <w:rPr>
          <w:rFonts w:cstheme="minorHAnsi"/>
          <w:i/>
          <w:iCs/>
          <w:color w:val="000000" w:themeColor="text1"/>
          <w:lang w:val="en-GB"/>
        </w:rPr>
        <w:t>y</w:t>
      </w:r>
      <w:r w:rsidR="00CA561D" w:rsidRPr="00A945AB">
        <w:rPr>
          <w:rFonts w:cstheme="minorHAnsi"/>
          <w:color w:val="000000" w:themeColor="text1"/>
          <w:lang w:val="en-GB"/>
        </w:rPr>
        <w:t xml:space="preserve"> axis.</w:t>
      </w:r>
      <w:r w:rsidR="00CA561D" w:rsidRPr="00A945AB">
        <w:rPr>
          <w:rFonts w:ascii="Calibri" w:eastAsia="Calibri" w:hAnsi="Calibri" w:cs="Times New Roman"/>
          <w:color w:val="000000" w:themeColor="text1"/>
          <w:lang w:val="en-US"/>
        </w:rPr>
        <w:t xml:space="preserve"> </w:t>
      </w:r>
      <w:r w:rsidR="00FA218B" w:rsidRPr="00A945AB">
        <w:rPr>
          <w:rFonts w:ascii="Calibri" w:eastAsia="Calibri" w:hAnsi="Calibri" w:cs="Times New Roman"/>
          <w:color w:val="000000" w:themeColor="text1"/>
          <w:lang w:val="en-US"/>
        </w:rPr>
        <w:t xml:space="preserve"> </w:t>
      </w:r>
      <w:r w:rsidR="00FA218B" w:rsidRPr="00A945AB">
        <w:rPr>
          <w:rFonts w:ascii="Calibri" w:eastAsia="Calibri" w:hAnsi="Calibri" w:cs="Times New Roman"/>
          <w:b/>
          <w:bCs/>
          <w:color w:val="000000" w:themeColor="text1"/>
          <w:lang w:val="en-US"/>
        </w:rPr>
        <w:t xml:space="preserve">B) </w:t>
      </w:r>
      <w:r w:rsidR="00FA218B" w:rsidRPr="00A945AB">
        <w:rPr>
          <w:rFonts w:ascii="Calibri" w:eastAsia="Calibri" w:hAnsi="Calibri" w:cs="Times New Roman"/>
          <w:bCs/>
          <w:color w:val="000000" w:themeColor="text1"/>
          <w:lang w:val="en-US"/>
        </w:rPr>
        <w:t xml:space="preserve">Voltage-dependence </w:t>
      </w:r>
      <w:r w:rsidR="00FA218B" w:rsidRPr="00A945AB">
        <w:rPr>
          <w:rFonts w:ascii="Calibri" w:eastAsia="Calibri" w:hAnsi="Calibri" w:cs="Times New Roman"/>
          <w:color w:val="000000" w:themeColor="text1"/>
          <w:lang w:val="en-US"/>
        </w:rPr>
        <w:t xml:space="preserve">of N-type inactivation </w:t>
      </w:r>
      <w:r w:rsidR="001668A0" w:rsidRPr="00A945AB">
        <w:rPr>
          <w:rFonts w:ascii="Calibri" w:eastAsia="Calibri" w:hAnsi="Calibri" w:cs="Times New Roman"/>
          <w:color w:val="000000" w:themeColor="text1"/>
          <w:lang w:val="en-US"/>
        </w:rPr>
        <w:t xml:space="preserve">after fitting </w:t>
      </w:r>
      <w:r w:rsidR="00FA218B" w:rsidRPr="00A945AB">
        <w:rPr>
          <w:rFonts w:ascii="Calibri" w:eastAsia="Calibri" w:hAnsi="Calibri" w:cs="Times New Roman"/>
          <w:color w:val="000000" w:themeColor="text1"/>
          <w:lang w:val="en-US"/>
        </w:rPr>
        <w:t>a Boltzmann equation</w:t>
      </w:r>
      <w:r w:rsidR="001668A0" w:rsidRPr="00A945AB">
        <w:rPr>
          <w:rFonts w:ascii="Calibri" w:eastAsia="Calibri" w:hAnsi="Calibri" w:cs="Times New Roman"/>
          <w:color w:val="000000" w:themeColor="text1"/>
          <w:lang w:val="en-US"/>
        </w:rPr>
        <w:t xml:space="preserve"> to the data</w:t>
      </w:r>
      <w:r w:rsidR="00FA218B" w:rsidRPr="00A945AB">
        <w:rPr>
          <w:rFonts w:ascii="Calibri" w:eastAsia="Calibri" w:hAnsi="Calibri" w:cs="Times New Roman"/>
          <w:color w:val="000000" w:themeColor="text1"/>
          <w:lang w:val="en-US"/>
        </w:rPr>
        <w:t>.</w:t>
      </w:r>
      <w:r w:rsidR="00FA218B" w:rsidRPr="00A945AB">
        <w:rPr>
          <w:rFonts w:ascii="Calibri" w:eastAsia="Calibri" w:hAnsi="Calibri" w:cs="Times New Roman"/>
          <w:b/>
          <w:bCs/>
          <w:color w:val="000000" w:themeColor="text1"/>
          <w:lang w:val="en-US"/>
        </w:rPr>
        <w:t xml:space="preserve"> </w:t>
      </w:r>
      <w:r w:rsidR="00FA218B" w:rsidRPr="00A945AB">
        <w:rPr>
          <w:rFonts w:ascii="Calibri" w:eastAsia="Calibri" w:hAnsi="Calibri" w:cs="Times New Roman"/>
          <w:color w:val="000000" w:themeColor="text1"/>
          <w:lang w:val="en-US"/>
        </w:rPr>
        <w:t>Data represent the values of the mean</w:t>
      </w:r>
      <w:r w:rsidR="00FA218B" w:rsidRPr="00A945AB">
        <w:rPr>
          <w:rFonts w:ascii="Calibri" w:eastAsia="Calibri" w:hAnsi="Calibri" w:cs="Times New Roman"/>
          <w:color w:val="000000" w:themeColor="text1"/>
          <w:lang w:val="en-US"/>
        </w:rPr>
        <w:sym w:font="Symbol" w:char="F0B1"/>
      </w:r>
      <w:r w:rsidR="00FA218B" w:rsidRPr="00A945AB">
        <w:rPr>
          <w:rFonts w:ascii="Calibri" w:eastAsia="Calibri" w:hAnsi="Calibri" w:cs="Times New Roman"/>
          <w:color w:val="000000" w:themeColor="text1"/>
          <w:lang w:val="en-US"/>
        </w:rPr>
        <w:t>SEM of the indicated n.</w:t>
      </w:r>
      <w:r w:rsidR="00FA218B" w:rsidRPr="00A945AB" w:rsidDel="007B29A7">
        <w:rPr>
          <w:rFonts w:ascii="Calibri" w:eastAsia="Calibri" w:hAnsi="Calibri" w:cs="Times New Roman"/>
          <w:color w:val="000000" w:themeColor="text1"/>
          <w:lang w:val="en-US"/>
        </w:rPr>
        <w:t xml:space="preserve"> </w:t>
      </w:r>
      <w:r w:rsidR="002072D1" w:rsidRPr="00A945AB">
        <w:rPr>
          <w:rFonts w:ascii="Calibri" w:eastAsia="Calibri" w:hAnsi="Calibri" w:cs="Times New Roman"/>
          <w:color w:val="000000" w:themeColor="text1"/>
          <w:lang w:val="en-US"/>
        </w:rPr>
        <w:t xml:space="preserve"> </w:t>
      </w:r>
      <w:r w:rsidR="002072D1" w:rsidRPr="00A945AB">
        <w:rPr>
          <w:rFonts w:cstheme="minorHAnsi"/>
          <w:b/>
          <w:bCs/>
          <w:color w:val="000000" w:themeColor="text1"/>
          <w:lang w:val="en-US"/>
        </w:rPr>
        <w:t>C</w:t>
      </w:r>
      <w:r w:rsidR="002072D1" w:rsidRPr="00A945AB">
        <w:rPr>
          <w:rFonts w:cstheme="minorHAnsi"/>
          <w:color w:val="000000" w:themeColor="text1"/>
          <w:lang w:val="en-US"/>
        </w:rPr>
        <w:t>)</w:t>
      </w:r>
      <w:r w:rsidR="002072D1" w:rsidRPr="00A945AB">
        <w:rPr>
          <w:rFonts w:cstheme="minorHAnsi"/>
          <w:b/>
          <w:bCs/>
          <w:color w:val="000000" w:themeColor="text1"/>
          <w:lang w:val="en-US"/>
        </w:rPr>
        <w:t xml:space="preserve"> </w:t>
      </w:r>
      <w:r w:rsidR="002072D1" w:rsidRPr="00A945AB">
        <w:rPr>
          <w:rFonts w:cstheme="minorHAnsi"/>
          <w:color w:val="000000" w:themeColor="text1"/>
          <w:lang w:val="en-US"/>
        </w:rPr>
        <w:t>Total lysates were immunoprecipitated (IP) against K</w:t>
      </w:r>
      <w:r w:rsidR="002072D1" w:rsidRPr="00A945AB">
        <w:rPr>
          <w:rFonts w:cstheme="minorHAnsi"/>
          <w:color w:val="000000" w:themeColor="text1"/>
          <w:vertAlign w:val="subscript"/>
          <w:lang w:val="en-US"/>
        </w:rPr>
        <w:t>V</w:t>
      </w:r>
      <w:r w:rsidR="002072D1" w:rsidRPr="00A945AB">
        <w:rPr>
          <w:rFonts w:cstheme="minorHAnsi"/>
          <w:color w:val="000000" w:themeColor="text1"/>
          <w:lang w:val="en-US"/>
        </w:rPr>
        <w:t>1.5 and immunoblotted (IB) versus K</w:t>
      </w:r>
      <w:r w:rsidR="002072D1" w:rsidRPr="00A945AB">
        <w:rPr>
          <w:rFonts w:cstheme="minorHAnsi"/>
          <w:color w:val="000000" w:themeColor="text1"/>
          <w:vertAlign w:val="subscript"/>
          <w:lang w:val="en-US"/>
        </w:rPr>
        <w:t>V</w:t>
      </w:r>
      <w:r w:rsidR="002072D1" w:rsidRPr="00A945AB">
        <w:rPr>
          <w:rFonts w:cstheme="minorHAnsi"/>
          <w:color w:val="000000" w:themeColor="text1"/>
          <w:lang w:val="en-US"/>
        </w:rPr>
        <w:t>1.5 and FLAG (Lgi3-4) (n=3). (</w:t>
      </w:r>
      <w:r w:rsidR="002072D1" w:rsidRPr="00A945AB">
        <w:rPr>
          <w:rFonts w:cstheme="minorHAnsi"/>
          <w:b/>
          <w:bCs/>
          <w:color w:val="000000" w:themeColor="text1"/>
          <w:lang w:val="en-US"/>
        </w:rPr>
        <w:t>D</w:t>
      </w:r>
      <w:r w:rsidR="002072D1" w:rsidRPr="00A945AB">
        <w:rPr>
          <w:rFonts w:cstheme="minorHAnsi"/>
          <w:color w:val="000000" w:themeColor="text1"/>
          <w:lang w:val="en-US"/>
        </w:rPr>
        <w:t>) Quantification of FLAG coimmunoprecipitation with K</w:t>
      </w:r>
      <w:r w:rsidR="002072D1" w:rsidRPr="00A945AB">
        <w:rPr>
          <w:rFonts w:cstheme="minorHAnsi"/>
          <w:color w:val="000000" w:themeColor="text1"/>
          <w:vertAlign w:val="subscript"/>
          <w:lang w:val="en-US"/>
        </w:rPr>
        <w:t>V</w:t>
      </w:r>
      <w:r w:rsidR="002072D1" w:rsidRPr="00A945AB">
        <w:rPr>
          <w:rFonts w:cstheme="minorHAnsi"/>
          <w:color w:val="000000" w:themeColor="text1"/>
          <w:lang w:val="en-US"/>
        </w:rPr>
        <w:t>1.5 measured as FLAG expression in the IP+ divided by its corresponding SM expression. Values represent mean</w:t>
      </w:r>
      <w:r w:rsidR="002072D1" w:rsidRPr="00A945AB">
        <w:rPr>
          <w:rFonts w:cstheme="minorHAnsi"/>
          <w:color w:val="000000" w:themeColor="text1"/>
        </w:rPr>
        <w:sym w:font="Symbol" w:char="F0B1"/>
      </w:r>
      <w:r w:rsidR="002072D1" w:rsidRPr="00A945AB">
        <w:rPr>
          <w:rFonts w:cstheme="minorHAnsi"/>
          <w:color w:val="000000" w:themeColor="text1"/>
          <w:lang w:val="en-US"/>
        </w:rPr>
        <w:t>SEM of the n indicated above. SM: starting material, IP+: IP in the presence of antibody, IP-: IP in the absence of antibody. Non-paired t-test were performed comparing each condition with its corresponding control (*</w:t>
      </w:r>
      <w:r w:rsidR="002072D1" w:rsidRPr="00A945AB">
        <w:rPr>
          <w:rFonts w:cstheme="minorHAnsi"/>
          <w:i/>
          <w:iCs/>
          <w:color w:val="000000" w:themeColor="text1"/>
          <w:lang w:val="en-US"/>
        </w:rPr>
        <w:t>p</w:t>
      </w:r>
      <w:r w:rsidR="002072D1" w:rsidRPr="00A945AB">
        <w:rPr>
          <w:rFonts w:cstheme="minorHAnsi"/>
          <w:color w:val="000000" w:themeColor="text1"/>
          <w:lang w:val="en-US"/>
        </w:rPr>
        <w:t xml:space="preserve"> &lt; 0.05).</w:t>
      </w:r>
    </w:p>
    <w:p w14:paraId="4F249045" w14:textId="77777777" w:rsidR="00275477" w:rsidRPr="00A945AB" w:rsidRDefault="00275477">
      <w:pPr>
        <w:spacing w:after="160" w:line="259" w:lineRule="auto"/>
        <w:rPr>
          <w:rFonts w:ascii="Calibri" w:eastAsia="Calibri" w:hAnsi="Calibri" w:cs="Times New Roman"/>
          <w:b/>
          <w:bCs/>
          <w:color w:val="000000" w:themeColor="text1"/>
          <w:lang w:val="en-US"/>
        </w:rPr>
      </w:pPr>
      <w:r w:rsidRPr="00A945AB">
        <w:rPr>
          <w:rFonts w:ascii="Calibri" w:eastAsia="Calibri" w:hAnsi="Calibri" w:cs="Times New Roman"/>
          <w:b/>
          <w:bCs/>
          <w:color w:val="000000" w:themeColor="text1"/>
          <w:lang w:val="en-US"/>
        </w:rPr>
        <w:br w:type="page"/>
      </w:r>
    </w:p>
    <w:p w14:paraId="3A40B13A" w14:textId="42F7062C" w:rsidR="00FA218B" w:rsidRPr="001E7605" w:rsidRDefault="00275477" w:rsidP="00FA218B">
      <w:pPr>
        <w:jc w:val="both"/>
        <w:rPr>
          <w:rFonts w:ascii="Calibri" w:eastAsia="Calibri" w:hAnsi="Calibri" w:cs="Times New Roman"/>
          <w:color w:val="000000" w:themeColor="text1"/>
          <w:lang w:val="en-US"/>
        </w:rPr>
      </w:pPr>
      <w:r w:rsidRPr="001E7605">
        <w:rPr>
          <w:noProof/>
        </w:rPr>
        <w:lastRenderedPageBreak/>
        <w:drawing>
          <wp:inline distT="0" distB="0" distL="0" distR="0" wp14:anchorId="785F922D" wp14:editId="7365CF2F">
            <wp:extent cx="5731510" cy="6412675"/>
            <wp:effectExtent l="0" t="0" r="2540" b="7620"/>
            <wp:docPr id="10814786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22461"/>
                    <a:stretch>
                      <a:fillRect/>
                    </a:stretch>
                  </pic:blipFill>
                  <pic:spPr bwMode="auto">
                    <a:xfrm>
                      <a:off x="0" y="0"/>
                      <a:ext cx="5731510" cy="6412675"/>
                    </a:xfrm>
                    <a:prstGeom prst="rect">
                      <a:avLst/>
                    </a:prstGeom>
                    <a:noFill/>
                    <a:ln>
                      <a:noFill/>
                    </a:ln>
                    <a:extLst>
                      <a:ext uri="{53640926-AAD7-44D8-BBD7-CCE9431645EC}">
                        <a14:shadowObscured xmlns:a14="http://schemas.microsoft.com/office/drawing/2010/main"/>
                      </a:ext>
                    </a:extLst>
                  </pic:spPr>
                </pic:pic>
              </a:graphicData>
            </a:graphic>
          </wp:inline>
        </w:drawing>
      </w:r>
      <w:r w:rsidR="00FA218B" w:rsidRPr="005D6169">
        <w:rPr>
          <w:rFonts w:ascii="Calibri" w:eastAsia="Calibri" w:hAnsi="Calibri" w:cs="Times New Roman"/>
          <w:b/>
          <w:bCs/>
          <w:color w:val="000000" w:themeColor="text1"/>
          <w:lang w:val="en-US"/>
        </w:rPr>
        <w:t xml:space="preserve">Figure </w:t>
      </w:r>
      <w:r w:rsidR="00BC53C8" w:rsidRPr="005D6169">
        <w:rPr>
          <w:rFonts w:ascii="Calibri" w:eastAsia="Calibri" w:hAnsi="Calibri" w:cs="Times New Roman"/>
          <w:b/>
          <w:bCs/>
          <w:color w:val="000000" w:themeColor="text1"/>
          <w:lang w:val="en-US"/>
        </w:rPr>
        <w:t>S12</w:t>
      </w:r>
      <w:r w:rsidR="00FA218B" w:rsidRPr="005D6169">
        <w:rPr>
          <w:rFonts w:ascii="Calibri" w:eastAsia="Calibri" w:hAnsi="Calibri" w:cs="Times New Roman"/>
          <w:b/>
          <w:bCs/>
          <w:color w:val="000000" w:themeColor="text1"/>
          <w:lang w:val="en-US"/>
        </w:rPr>
        <w:t>. Electrophysio</w:t>
      </w:r>
      <w:r w:rsidR="00FA218B" w:rsidRPr="00A945AB">
        <w:rPr>
          <w:rFonts w:ascii="Calibri" w:eastAsia="Calibri" w:hAnsi="Calibri" w:cs="Times New Roman"/>
          <w:b/>
          <w:bCs/>
          <w:color w:val="000000" w:themeColor="text1"/>
          <w:lang w:val="en-US"/>
        </w:rPr>
        <w:t>logical effects of Lgi3-4 on K</w:t>
      </w:r>
      <w:r w:rsidR="00FA218B" w:rsidRPr="00A945AB">
        <w:rPr>
          <w:rFonts w:ascii="Calibri" w:eastAsia="Calibri" w:hAnsi="Calibri" w:cs="Times New Roman"/>
          <w:b/>
          <w:bCs/>
          <w:color w:val="000000" w:themeColor="text1"/>
          <w:vertAlign w:val="subscript"/>
          <w:lang w:val="en-US"/>
        </w:rPr>
        <w:t>V</w:t>
      </w:r>
      <w:r w:rsidR="00FA218B" w:rsidRPr="00A945AB">
        <w:rPr>
          <w:rFonts w:ascii="Calibri" w:eastAsia="Calibri" w:hAnsi="Calibri" w:cs="Times New Roman"/>
          <w:b/>
          <w:bCs/>
          <w:color w:val="000000" w:themeColor="text1"/>
          <w:lang w:val="en-US"/>
        </w:rPr>
        <w:t>1.5 are not mediated through ADAM23. A)</w:t>
      </w:r>
      <w:r w:rsidR="00FA218B" w:rsidRPr="00A945AB">
        <w:rPr>
          <w:rFonts w:ascii="Calibri" w:eastAsia="Calibri" w:hAnsi="Calibri" w:cs="Times New Roman"/>
          <w:color w:val="000000" w:themeColor="text1"/>
          <w:lang w:val="en-US"/>
        </w:rPr>
        <w:t xml:space="preserve"> Representative current traces elicited after application of the I-V protocol shown in the upper panel in HEK293 cells transfected with K</w:t>
      </w:r>
      <w:r w:rsidR="00FA218B" w:rsidRPr="00A945AB">
        <w:rPr>
          <w:rFonts w:ascii="Calibri" w:eastAsia="Calibri" w:hAnsi="Calibri" w:cs="Times New Roman"/>
          <w:color w:val="000000" w:themeColor="text1"/>
          <w:vertAlign w:val="subscript"/>
          <w:lang w:val="en-US"/>
        </w:rPr>
        <w:t>V</w:t>
      </w:r>
      <w:r w:rsidR="00FA218B" w:rsidRPr="00A945AB">
        <w:rPr>
          <w:rFonts w:ascii="Calibri" w:eastAsia="Calibri" w:hAnsi="Calibri" w:cs="Times New Roman"/>
          <w:color w:val="000000" w:themeColor="text1"/>
          <w:lang w:val="en-US"/>
        </w:rPr>
        <w:t>1.5/K</w:t>
      </w:r>
      <w:r w:rsidR="00FA218B" w:rsidRPr="00A945AB">
        <w:rPr>
          <w:rFonts w:ascii="Calibri" w:eastAsia="Calibri" w:hAnsi="Calibri" w:cs="Times New Roman"/>
          <w:color w:val="000000" w:themeColor="text1"/>
          <w:vertAlign w:val="subscript"/>
          <w:lang w:val="en-US"/>
        </w:rPr>
        <w:t>V</w:t>
      </w:r>
      <w:r w:rsidR="00FA218B" w:rsidRPr="00A945AB">
        <w:rPr>
          <w:rFonts w:ascii="Calibri" w:eastAsia="Calibri" w:hAnsi="Calibri" w:cs="Times New Roman"/>
          <w:color w:val="000000" w:themeColor="text1"/>
          <w:lang w:val="en-US"/>
        </w:rPr>
        <w:t>β1.3/ADAM23 with or without Lgi3 or Lgi4. The current traces are very similar to those in the absence of ADAM23 (Figure 2E).</w:t>
      </w:r>
      <w:r w:rsidR="00D0420B" w:rsidRPr="00A945AB">
        <w:rPr>
          <w:rFonts w:ascii="Calibri" w:eastAsia="Calibri" w:hAnsi="Calibri" w:cs="Times New Roman"/>
          <w:color w:val="000000" w:themeColor="text1"/>
          <w:lang w:val="en-US"/>
        </w:rPr>
        <w:t xml:space="preserve"> </w:t>
      </w:r>
      <w:r w:rsidR="00D0420B" w:rsidRPr="00A945AB">
        <w:rPr>
          <w:rFonts w:cstheme="minorHAnsi"/>
          <w:color w:val="000000" w:themeColor="text1"/>
          <w:lang w:val="en-GB"/>
        </w:rPr>
        <w:t xml:space="preserve">Scale bar: 50 </w:t>
      </w:r>
      <w:proofErr w:type="spellStart"/>
      <w:r w:rsidR="00D0420B" w:rsidRPr="00A945AB">
        <w:rPr>
          <w:rFonts w:cstheme="minorHAnsi"/>
          <w:color w:val="000000" w:themeColor="text1"/>
          <w:lang w:val="en-GB"/>
        </w:rPr>
        <w:t>ms</w:t>
      </w:r>
      <w:proofErr w:type="spellEnd"/>
      <w:r w:rsidR="00D0420B" w:rsidRPr="00A945AB">
        <w:rPr>
          <w:rFonts w:cstheme="minorHAnsi"/>
          <w:color w:val="000000" w:themeColor="text1"/>
          <w:lang w:val="en-GB"/>
        </w:rPr>
        <w:t xml:space="preserve"> in the </w:t>
      </w:r>
      <w:r w:rsidR="00D0420B" w:rsidRPr="00A945AB">
        <w:rPr>
          <w:rFonts w:cstheme="minorHAnsi"/>
          <w:i/>
          <w:iCs/>
          <w:color w:val="000000" w:themeColor="text1"/>
          <w:lang w:val="en-GB"/>
        </w:rPr>
        <w:t>x</w:t>
      </w:r>
      <w:r w:rsidR="00D0420B" w:rsidRPr="00A945AB">
        <w:rPr>
          <w:rFonts w:cstheme="minorHAnsi"/>
          <w:color w:val="000000" w:themeColor="text1"/>
          <w:lang w:val="en-GB"/>
        </w:rPr>
        <w:t xml:space="preserve"> axis and the corresponding </w:t>
      </w:r>
      <w:proofErr w:type="spellStart"/>
      <w:r w:rsidR="00D0420B" w:rsidRPr="00A945AB">
        <w:rPr>
          <w:rFonts w:cstheme="minorHAnsi"/>
          <w:color w:val="000000" w:themeColor="text1"/>
          <w:lang w:val="en-GB"/>
        </w:rPr>
        <w:t>pA</w:t>
      </w:r>
      <w:proofErr w:type="spellEnd"/>
      <w:r w:rsidR="00D0420B" w:rsidRPr="00A945AB">
        <w:rPr>
          <w:rFonts w:cstheme="minorHAnsi"/>
          <w:color w:val="000000" w:themeColor="text1"/>
          <w:lang w:val="en-GB"/>
        </w:rPr>
        <w:t xml:space="preserve"> in each </w:t>
      </w:r>
      <w:r w:rsidR="00D0420B" w:rsidRPr="00A945AB">
        <w:rPr>
          <w:rFonts w:cstheme="minorHAnsi"/>
          <w:i/>
          <w:iCs/>
          <w:color w:val="000000" w:themeColor="text1"/>
          <w:lang w:val="en-GB"/>
        </w:rPr>
        <w:t>y</w:t>
      </w:r>
      <w:r w:rsidR="00D0420B" w:rsidRPr="00A945AB">
        <w:rPr>
          <w:rFonts w:cstheme="minorHAnsi"/>
          <w:color w:val="000000" w:themeColor="text1"/>
          <w:lang w:val="en-GB"/>
        </w:rPr>
        <w:t xml:space="preserve"> axis.</w:t>
      </w:r>
      <w:r w:rsidR="00FA218B" w:rsidRPr="00A945AB">
        <w:rPr>
          <w:rFonts w:ascii="Calibri" w:eastAsia="Calibri" w:hAnsi="Calibri" w:cs="Times New Roman"/>
          <w:color w:val="000000" w:themeColor="text1"/>
          <w:lang w:val="en-US"/>
        </w:rPr>
        <w:t xml:space="preserve"> </w:t>
      </w:r>
      <w:r w:rsidR="00FA218B" w:rsidRPr="00A945AB">
        <w:rPr>
          <w:rFonts w:ascii="Calibri" w:eastAsia="Calibri" w:hAnsi="Calibri" w:cs="Times New Roman"/>
          <w:b/>
          <w:bCs/>
          <w:color w:val="000000" w:themeColor="text1"/>
          <w:lang w:val="en-US"/>
        </w:rPr>
        <w:t>B)</w:t>
      </w:r>
      <w:r w:rsidR="00FA218B" w:rsidRPr="00A945AB">
        <w:rPr>
          <w:rFonts w:ascii="Calibri" w:eastAsia="Calibri" w:hAnsi="Calibri" w:cs="Times New Roman"/>
          <w:color w:val="000000" w:themeColor="text1"/>
          <w:lang w:val="en-US"/>
        </w:rPr>
        <w:t xml:space="preserve"> Current-voltage relationships measured at the end of the 250 </w:t>
      </w:r>
      <w:proofErr w:type="spellStart"/>
      <w:r w:rsidR="00FA218B" w:rsidRPr="00A945AB">
        <w:rPr>
          <w:rFonts w:ascii="Calibri" w:eastAsia="Calibri" w:hAnsi="Calibri" w:cs="Times New Roman"/>
          <w:color w:val="000000" w:themeColor="text1"/>
          <w:lang w:val="en-US"/>
        </w:rPr>
        <w:t>ms</w:t>
      </w:r>
      <w:proofErr w:type="spellEnd"/>
      <w:r w:rsidR="00FA218B" w:rsidRPr="00A945AB">
        <w:rPr>
          <w:rFonts w:ascii="Calibri" w:eastAsia="Calibri" w:hAnsi="Calibri" w:cs="Times New Roman"/>
          <w:color w:val="000000" w:themeColor="text1"/>
          <w:lang w:val="en-US"/>
        </w:rPr>
        <w:t xml:space="preserve"> depolarizing pulses (left) and current amplitude at +60 mV measured at the peak in K</w:t>
      </w:r>
      <w:r w:rsidR="00FA218B" w:rsidRPr="00A945AB">
        <w:rPr>
          <w:rFonts w:ascii="Calibri" w:eastAsia="Calibri" w:hAnsi="Calibri" w:cs="Times New Roman"/>
          <w:color w:val="000000" w:themeColor="text1"/>
          <w:vertAlign w:val="subscript"/>
          <w:lang w:val="en-US"/>
        </w:rPr>
        <w:t>V</w:t>
      </w:r>
      <w:r w:rsidR="00FA218B" w:rsidRPr="00A945AB">
        <w:rPr>
          <w:rFonts w:ascii="Calibri" w:eastAsia="Calibri" w:hAnsi="Calibri" w:cs="Times New Roman"/>
          <w:color w:val="000000" w:themeColor="text1"/>
          <w:lang w:val="en-US"/>
        </w:rPr>
        <w:t>1.5/K</w:t>
      </w:r>
      <w:r w:rsidR="00FA218B" w:rsidRPr="00A945AB">
        <w:rPr>
          <w:rFonts w:ascii="Calibri" w:eastAsia="Calibri" w:hAnsi="Calibri" w:cs="Times New Roman"/>
          <w:color w:val="000000" w:themeColor="text1"/>
          <w:vertAlign w:val="subscript"/>
          <w:lang w:val="en-US"/>
        </w:rPr>
        <w:t>V</w:t>
      </w:r>
      <w:r w:rsidR="00FA218B" w:rsidRPr="00A945AB">
        <w:rPr>
          <w:rFonts w:ascii="Calibri" w:eastAsia="Calibri" w:hAnsi="Calibri" w:cs="Times New Roman"/>
          <w:color w:val="000000" w:themeColor="text1"/>
          <w:lang w:val="en-US"/>
        </w:rPr>
        <w:t xml:space="preserve">β1.3/ADAM23 with or without Lgi3 (purple) or Lgi4 (green) (n=10-14) (right). </w:t>
      </w:r>
      <w:r w:rsidR="00FA218B" w:rsidRPr="00A945AB">
        <w:rPr>
          <w:rFonts w:ascii="Calibri" w:eastAsia="Calibri" w:hAnsi="Calibri" w:cs="Times New Roman"/>
          <w:b/>
          <w:bCs/>
          <w:color w:val="000000" w:themeColor="text1"/>
          <w:lang w:val="en-US"/>
        </w:rPr>
        <w:t>C)</w:t>
      </w:r>
      <w:r w:rsidR="00FA218B" w:rsidRPr="00A945AB">
        <w:rPr>
          <w:rFonts w:ascii="Calibri" w:eastAsia="Calibri" w:hAnsi="Calibri" w:cs="Times New Roman"/>
          <w:color w:val="000000" w:themeColor="text1"/>
          <w:lang w:val="en-US"/>
        </w:rPr>
        <w:t xml:space="preserve"> Representative </w:t>
      </w:r>
      <w:r w:rsidR="00E01445" w:rsidRPr="00A945AB">
        <w:rPr>
          <w:rFonts w:ascii="Calibri" w:eastAsia="Calibri" w:hAnsi="Calibri" w:cs="Times New Roman"/>
          <w:color w:val="000000" w:themeColor="text1"/>
          <w:lang w:val="en-US"/>
        </w:rPr>
        <w:t xml:space="preserve">normalized </w:t>
      </w:r>
      <w:r w:rsidR="00FA218B" w:rsidRPr="00A945AB">
        <w:rPr>
          <w:rFonts w:ascii="Calibri" w:eastAsia="Calibri" w:hAnsi="Calibri" w:cs="Times New Roman"/>
          <w:color w:val="000000" w:themeColor="text1"/>
          <w:lang w:val="en-US"/>
        </w:rPr>
        <w:t xml:space="preserve">current traces recorded after the application of 250 </w:t>
      </w:r>
      <w:proofErr w:type="spellStart"/>
      <w:r w:rsidR="00FA218B" w:rsidRPr="00A945AB">
        <w:rPr>
          <w:rFonts w:ascii="Calibri" w:eastAsia="Calibri" w:hAnsi="Calibri" w:cs="Times New Roman"/>
          <w:color w:val="000000" w:themeColor="text1"/>
          <w:lang w:val="en-US"/>
        </w:rPr>
        <w:t>ms</w:t>
      </w:r>
      <w:proofErr w:type="spellEnd"/>
      <w:r w:rsidR="00FA218B" w:rsidRPr="00A945AB">
        <w:rPr>
          <w:rFonts w:ascii="Calibri" w:eastAsia="Calibri" w:hAnsi="Calibri" w:cs="Times New Roman"/>
          <w:color w:val="000000" w:themeColor="text1"/>
          <w:lang w:val="en-US"/>
        </w:rPr>
        <w:t xml:space="preserve"> depolarizing pulses at +60 (black) or +140 mV (grey) in HEK293 cells transfected with K</w:t>
      </w:r>
      <w:r w:rsidR="00FA218B" w:rsidRPr="00A945AB">
        <w:rPr>
          <w:rFonts w:ascii="Calibri" w:eastAsia="Calibri" w:hAnsi="Calibri" w:cs="Times New Roman"/>
          <w:color w:val="000000" w:themeColor="text1"/>
          <w:vertAlign w:val="subscript"/>
          <w:lang w:val="en-US"/>
        </w:rPr>
        <w:t>V</w:t>
      </w:r>
      <w:r w:rsidR="00FA218B" w:rsidRPr="00A945AB">
        <w:rPr>
          <w:rFonts w:ascii="Calibri" w:eastAsia="Calibri" w:hAnsi="Calibri" w:cs="Times New Roman"/>
          <w:color w:val="000000" w:themeColor="text1"/>
          <w:lang w:val="en-US"/>
        </w:rPr>
        <w:t>1.5/K</w:t>
      </w:r>
      <w:r w:rsidR="00FA218B" w:rsidRPr="00A945AB">
        <w:rPr>
          <w:rFonts w:ascii="Calibri" w:eastAsia="Calibri" w:hAnsi="Calibri" w:cs="Times New Roman"/>
          <w:color w:val="000000" w:themeColor="text1"/>
          <w:vertAlign w:val="subscript"/>
          <w:lang w:val="en-US"/>
        </w:rPr>
        <w:t>V</w:t>
      </w:r>
      <w:r w:rsidR="00FA218B" w:rsidRPr="00A945AB">
        <w:rPr>
          <w:rFonts w:ascii="Calibri" w:eastAsia="Calibri" w:hAnsi="Calibri" w:cs="Times New Roman"/>
          <w:color w:val="000000" w:themeColor="text1"/>
          <w:lang w:val="en-US"/>
        </w:rPr>
        <w:t>β1.3/ADAM23 in the absence and the presence of Lgi3 or Lgi4 (n=9-15).</w:t>
      </w:r>
      <w:r w:rsidR="00E01445" w:rsidRPr="00A945AB">
        <w:rPr>
          <w:rFonts w:ascii="Calibri" w:eastAsia="Calibri" w:hAnsi="Calibri" w:cs="Times New Roman"/>
          <w:color w:val="000000" w:themeColor="text1"/>
          <w:lang w:val="en-US"/>
        </w:rPr>
        <w:t xml:space="preserve"> Scale bar: 50 </w:t>
      </w:r>
      <w:proofErr w:type="spellStart"/>
      <w:r w:rsidR="00E01445" w:rsidRPr="00A945AB">
        <w:rPr>
          <w:rFonts w:ascii="Calibri" w:eastAsia="Calibri" w:hAnsi="Calibri" w:cs="Times New Roman"/>
          <w:color w:val="000000" w:themeColor="text1"/>
          <w:lang w:val="en-US"/>
        </w:rPr>
        <w:t>ms.</w:t>
      </w:r>
      <w:proofErr w:type="spellEnd"/>
      <w:r w:rsidR="00FA218B" w:rsidRPr="00A945AB">
        <w:rPr>
          <w:rFonts w:ascii="Calibri" w:eastAsia="Calibri" w:hAnsi="Calibri" w:cs="Times New Roman"/>
          <w:color w:val="000000" w:themeColor="text1"/>
          <w:lang w:val="en-US"/>
        </w:rPr>
        <w:t xml:space="preserve"> </w:t>
      </w:r>
      <w:r w:rsidR="00FA218B" w:rsidRPr="00A945AB">
        <w:rPr>
          <w:rFonts w:ascii="Calibri" w:eastAsia="Calibri" w:hAnsi="Calibri" w:cs="Times New Roman"/>
          <w:b/>
          <w:bCs/>
          <w:color w:val="000000" w:themeColor="text1"/>
          <w:lang w:val="en-US"/>
        </w:rPr>
        <w:t>D)</w:t>
      </w:r>
      <w:r w:rsidR="00FA218B" w:rsidRPr="00A945AB">
        <w:rPr>
          <w:rFonts w:ascii="Calibri" w:eastAsia="Calibri" w:hAnsi="Calibri" w:cs="Times New Roman"/>
          <w:color w:val="000000" w:themeColor="text1"/>
          <w:lang w:val="en-US"/>
        </w:rPr>
        <w:t xml:space="preserve"> Inactivation kinetics measured at +140 mV fitted to a double exponential (n=9-12). </w:t>
      </w:r>
      <w:r w:rsidR="00FA218B" w:rsidRPr="00A945AB">
        <w:rPr>
          <w:rFonts w:ascii="Calibri" w:eastAsia="Calibri" w:hAnsi="Calibri" w:cs="Times New Roman"/>
          <w:b/>
          <w:bCs/>
          <w:color w:val="000000" w:themeColor="text1"/>
          <w:lang w:val="en-US"/>
        </w:rPr>
        <w:t>E)</w:t>
      </w:r>
      <w:r w:rsidR="00FA218B" w:rsidRPr="00A945AB">
        <w:rPr>
          <w:rFonts w:ascii="Calibri" w:eastAsia="Calibri" w:hAnsi="Calibri" w:cs="Times New Roman"/>
          <w:color w:val="000000" w:themeColor="text1"/>
          <w:lang w:val="en-US"/>
        </w:rPr>
        <w:t xml:space="preserve"> Percentage of inactivation of the currents generated in HEK293 cells </w:t>
      </w:r>
      <w:proofErr w:type="spellStart"/>
      <w:r w:rsidR="00FA218B" w:rsidRPr="00A945AB">
        <w:rPr>
          <w:rFonts w:ascii="Calibri" w:eastAsia="Calibri" w:hAnsi="Calibri" w:cs="Times New Roman"/>
          <w:color w:val="000000" w:themeColor="text1"/>
          <w:lang w:val="en-US"/>
        </w:rPr>
        <w:t>cotransfected</w:t>
      </w:r>
      <w:proofErr w:type="spellEnd"/>
      <w:r w:rsidR="00FA218B" w:rsidRPr="00A945AB">
        <w:rPr>
          <w:rFonts w:ascii="Calibri" w:eastAsia="Calibri" w:hAnsi="Calibri" w:cs="Times New Roman"/>
          <w:color w:val="000000" w:themeColor="text1"/>
          <w:lang w:val="en-US"/>
        </w:rPr>
        <w:t xml:space="preserve"> with K</w:t>
      </w:r>
      <w:r w:rsidR="00FA218B" w:rsidRPr="00A945AB">
        <w:rPr>
          <w:rFonts w:ascii="Calibri" w:eastAsia="Calibri" w:hAnsi="Calibri" w:cs="Times New Roman"/>
          <w:color w:val="000000" w:themeColor="text1"/>
          <w:vertAlign w:val="subscript"/>
          <w:lang w:val="en-US"/>
        </w:rPr>
        <w:t>V</w:t>
      </w:r>
      <w:r w:rsidR="00FA218B" w:rsidRPr="00A945AB">
        <w:rPr>
          <w:rFonts w:ascii="Calibri" w:eastAsia="Calibri" w:hAnsi="Calibri" w:cs="Times New Roman"/>
          <w:color w:val="000000" w:themeColor="text1"/>
          <w:lang w:val="en-US"/>
        </w:rPr>
        <w:t>1.5/K</w:t>
      </w:r>
      <w:r w:rsidR="00FA218B" w:rsidRPr="00A945AB">
        <w:rPr>
          <w:rFonts w:ascii="Calibri" w:eastAsia="Calibri" w:hAnsi="Calibri" w:cs="Times New Roman"/>
          <w:color w:val="000000" w:themeColor="text1"/>
          <w:vertAlign w:val="subscript"/>
          <w:lang w:val="en-US"/>
        </w:rPr>
        <w:t>V</w:t>
      </w:r>
      <w:r w:rsidR="00FA218B" w:rsidRPr="00A945AB">
        <w:rPr>
          <w:rFonts w:ascii="Calibri" w:eastAsia="Calibri" w:hAnsi="Calibri" w:cs="Times New Roman"/>
          <w:color w:val="000000" w:themeColor="text1"/>
          <w:lang w:val="en-US"/>
        </w:rPr>
        <w:t xml:space="preserve">β1.3 with (+) or without (-) ADAM23, Lgi3 and/or </w:t>
      </w:r>
      <w:r w:rsidR="00FA218B" w:rsidRPr="00A945AB">
        <w:rPr>
          <w:rFonts w:ascii="Calibri" w:eastAsia="Calibri" w:hAnsi="Calibri" w:cs="Times New Roman"/>
          <w:color w:val="000000" w:themeColor="text1"/>
          <w:lang w:val="en-US"/>
        </w:rPr>
        <w:lastRenderedPageBreak/>
        <w:t xml:space="preserve">Lgi4 at +60 mV (left, n=11-15) and +140 mV (right, n=9-12). </w:t>
      </w:r>
      <w:r w:rsidR="00FA218B" w:rsidRPr="00A945AB">
        <w:rPr>
          <w:rFonts w:ascii="Calibri" w:eastAsia="Calibri" w:hAnsi="Calibri" w:cs="Times New Roman"/>
          <w:b/>
          <w:bCs/>
          <w:color w:val="000000" w:themeColor="text1"/>
          <w:lang w:val="en-US"/>
        </w:rPr>
        <w:t>F)</w:t>
      </w:r>
      <w:r w:rsidR="00FA218B" w:rsidRPr="00A945AB">
        <w:rPr>
          <w:rFonts w:ascii="Calibri" w:eastAsia="Calibri" w:hAnsi="Calibri" w:cs="Times New Roman"/>
          <w:color w:val="000000" w:themeColor="text1"/>
          <w:lang w:val="en-US"/>
        </w:rPr>
        <w:t xml:space="preserve"> Voltage-dependence of activation (left, n=10-11) and N-type inactivation (right, n=7-8) after fitting a Boltzmann equation</w:t>
      </w:r>
      <w:r w:rsidR="002808E7" w:rsidRPr="00A945AB">
        <w:rPr>
          <w:rFonts w:ascii="Calibri" w:eastAsia="Calibri" w:hAnsi="Calibri" w:cs="Times New Roman"/>
          <w:color w:val="000000" w:themeColor="text1"/>
          <w:lang w:val="en-US"/>
        </w:rPr>
        <w:t xml:space="preserve"> to the data</w:t>
      </w:r>
      <w:r w:rsidR="00FA218B" w:rsidRPr="00A945AB">
        <w:rPr>
          <w:rFonts w:ascii="Calibri" w:eastAsia="Calibri" w:hAnsi="Calibri" w:cs="Times New Roman"/>
          <w:color w:val="000000" w:themeColor="text1"/>
          <w:lang w:val="en-US"/>
        </w:rPr>
        <w:t>. Values are represented as mean</w:t>
      </w:r>
      <w:r w:rsidR="00FA218B" w:rsidRPr="00A945AB">
        <w:rPr>
          <w:rFonts w:ascii="Calibri" w:eastAsia="Calibri" w:hAnsi="Calibri" w:cs="Times New Roman"/>
          <w:color w:val="000000" w:themeColor="text1"/>
          <w:lang w:val="en-US"/>
        </w:rPr>
        <w:sym w:font="Symbol" w:char="F0B1"/>
      </w:r>
      <w:r w:rsidR="00FA218B" w:rsidRPr="00A945AB">
        <w:rPr>
          <w:rFonts w:ascii="Calibri" w:eastAsia="Calibri" w:hAnsi="Calibri" w:cs="Times New Roman"/>
          <w:color w:val="000000" w:themeColor="text1"/>
          <w:lang w:val="en-US"/>
        </w:rPr>
        <w:t>SEM. Non-paired t-test. Data represent the values of the mean</w:t>
      </w:r>
      <w:r w:rsidR="00FA218B" w:rsidRPr="00A945AB">
        <w:rPr>
          <w:rFonts w:ascii="Calibri" w:eastAsia="Calibri" w:hAnsi="Calibri" w:cs="Times New Roman"/>
          <w:color w:val="000000" w:themeColor="text1"/>
          <w:lang w:val="en-US"/>
        </w:rPr>
        <w:sym w:font="Symbol" w:char="F0B1"/>
      </w:r>
      <w:r w:rsidR="00FA218B" w:rsidRPr="00A945AB">
        <w:rPr>
          <w:rFonts w:ascii="Calibri" w:eastAsia="Calibri" w:hAnsi="Calibri" w:cs="Times New Roman"/>
          <w:color w:val="000000" w:themeColor="text1"/>
          <w:lang w:val="en-US"/>
        </w:rPr>
        <w:t>SEM of the indicated n. *</w:t>
      </w:r>
      <w:r w:rsidR="00FA218B" w:rsidRPr="00A945AB">
        <w:rPr>
          <w:rFonts w:ascii="Calibri" w:eastAsia="Calibri" w:hAnsi="Calibri" w:cs="Times New Roman"/>
          <w:i/>
          <w:iCs/>
          <w:color w:val="000000" w:themeColor="text1"/>
          <w:lang w:val="en-US"/>
        </w:rPr>
        <w:t>p</w:t>
      </w:r>
      <w:r w:rsidR="00FA218B" w:rsidRPr="00A945AB">
        <w:rPr>
          <w:rFonts w:ascii="Calibri" w:eastAsia="Calibri" w:hAnsi="Calibri" w:cs="Times New Roman"/>
          <w:color w:val="000000" w:themeColor="text1"/>
          <w:lang w:val="en-US"/>
        </w:rPr>
        <w:t xml:space="preserve"> &lt; 0.05 of the n indicated above.</w:t>
      </w:r>
    </w:p>
    <w:p w14:paraId="38E14CD2" w14:textId="77777777" w:rsidR="00275477" w:rsidRPr="001E7605" w:rsidRDefault="00275477">
      <w:pPr>
        <w:spacing w:after="160" w:line="259" w:lineRule="auto"/>
        <w:rPr>
          <w:rFonts w:ascii="Calibri" w:eastAsia="Calibri" w:hAnsi="Calibri" w:cs="Times New Roman"/>
          <w:b/>
          <w:bCs/>
          <w:color w:val="000000" w:themeColor="text1"/>
          <w:lang w:val="en-US"/>
        </w:rPr>
      </w:pPr>
      <w:r w:rsidRPr="001E7605">
        <w:rPr>
          <w:rFonts w:ascii="Calibri" w:eastAsia="Calibri" w:hAnsi="Calibri" w:cs="Times New Roman"/>
          <w:b/>
          <w:bCs/>
          <w:color w:val="000000" w:themeColor="text1"/>
          <w:lang w:val="en-US"/>
        </w:rPr>
        <w:br w:type="page"/>
      </w:r>
    </w:p>
    <w:p w14:paraId="4A6AF865" w14:textId="3F282D0F" w:rsidR="00FA218B" w:rsidRPr="001E7605" w:rsidRDefault="00275477" w:rsidP="009030DF">
      <w:pPr>
        <w:jc w:val="both"/>
        <w:rPr>
          <w:rFonts w:ascii="Garamond" w:eastAsia="Times New Roman" w:hAnsi="Garamond" w:cs="Times New Roman (Cuerpo en alfa"/>
          <w:iCs/>
          <w:color w:val="000000" w:themeColor="text1"/>
          <w:sz w:val="21"/>
          <w:szCs w:val="22"/>
          <w:lang w:val="en-GB"/>
        </w:rPr>
      </w:pPr>
      <w:r w:rsidRPr="001E7605">
        <w:rPr>
          <w:noProof/>
        </w:rPr>
        <w:lastRenderedPageBreak/>
        <w:drawing>
          <wp:inline distT="0" distB="0" distL="0" distR="0" wp14:anchorId="725820C0" wp14:editId="19284F15">
            <wp:extent cx="5731056" cy="6009640"/>
            <wp:effectExtent l="0" t="0" r="3175" b="0"/>
            <wp:docPr id="9619839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298" b="22030"/>
                    <a:stretch>
                      <a:fillRect/>
                    </a:stretch>
                  </pic:blipFill>
                  <pic:spPr bwMode="auto">
                    <a:xfrm>
                      <a:off x="0" y="0"/>
                      <a:ext cx="5731510" cy="6010116"/>
                    </a:xfrm>
                    <a:prstGeom prst="rect">
                      <a:avLst/>
                    </a:prstGeom>
                    <a:noFill/>
                    <a:ln>
                      <a:noFill/>
                    </a:ln>
                    <a:extLst>
                      <a:ext uri="{53640926-AAD7-44D8-BBD7-CCE9431645EC}">
                        <a14:shadowObscured xmlns:a14="http://schemas.microsoft.com/office/drawing/2010/main"/>
                      </a:ext>
                    </a:extLst>
                  </pic:spPr>
                </pic:pic>
              </a:graphicData>
            </a:graphic>
          </wp:inline>
        </w:drawing>
      </w:r>
      <w:r w:rsidR="00FA218B" w:rsidRPr="005D6169">
        <w:rPr>
          <w:rFonts w:ascii="Calibri" w:eastAsia="Calibri" w:hAnsi="Calibri" w:cs="Times New Roman"/>
          <w:b/>
          <w:bCs/>
          <w:color w:val="000000" w:themeColor="text1"/>
          <w:lang w:val="en-US"/>
        </w:rPr>
        <w:t xml:space="preserve">Figure </w:t>
      </w:r>
      <w:r w:rsidR="00BC53C8" w:rsidRPr="005D6169">
        <w:rPr>
          <w:rFonts w:ascii="Calibri" w:eastAsia="Calibri" w:hAnsi="Calibri" w:cs="Times New Roman"/>
          <w:b/>
          <w:bCs/>
          <w:color w:val="000000" w:themeColor="text1"/>
          <w:lang w:val="en-US"/>
        </w:rPr>
        <w:t>S13</w:t>
      </w:r>
      <w:r w:rsidR="00FA218B" w:rsidRPr="005D6169">
        <w:rPr>
          <w:rFonts w:ascii="Calibri" w:eastAsia="Calibri" w:hAnsi="Calibri" w:cs="Times New Roman"/>
          <w:b/>
          <w:bCs/>
          <w:color w:val="000000" w:themeColor="text1"/>
          <w:lang w:val="en-US"/>
        </w:rPr>
        <w:t>. Expr</w:t>
      </w:r>
      <w:r w:rsidR="00FA218B" w:rsidRPr="001E7605">
        <w:rPr>
          <w:rFonts w:ascii="Calibri" w:eastAsia="Calibri" w:hAnsi="Calibri" w:cs="Times New Roman"/>
          <w:b/>
          <w:bCs/>
          <w:color w:val="000000" w:themeColor="text1"/>
          <w:lang w:val="en-US"/>
        </w:rPr>
        <w:t>ession of K</w:t>
      </w:r>
      <w:r w:rsidR="00FA218B" w:rsidRPr="001E7605">
        <w:rPr>
          <w:rFonts w:ascii="Calibri" w:eastAsia="Calibri" w:hAnsi="Calibri" w:cs="Times New Roman"/>
          <w:b/>
          <w:bCs/>
          <w:color w:val="000000" w:themeColor="text1"/>
          <w:vertAlign w:val="subscript"/>
          <w:lang w:val="en-US"/>
        </w:rPr>
        <w:t>V</w:t>
      </w:r>
      <w:r w:rsidR="00FA218B" w:rsidRPr="001E7605">
        <w:rPr>
          <w:rFonts w:ascii="Calibri" w:eastAsia="Calibri" w:hAnsi="Calibri" w:cs="Times New Roman"/>
          <w:b/>
          <w:bCs/>
          <w:color w:val="000000" w:themeColor="text1"/>
          <w:lang w:val="en-US"/>
        </w:rPr>
        <w:t>1.5 channelosome in samples from patients in atrial fibrillation (AF) and in sinus rhythm (SR).</w:t>
      </w:r>
      <w:r w:rsidR="00FA218B" w:rsidRPr="001E7605">
        <w:rPr>
          <w:rFonts w:ascii="Calibri" w:eastAsia="Calibri" w:hAnsi="Calibri" w:cs="Times New Roman"/>
          <w:color w:val="000000" w:themeColor="text1"/>
          <w:lang w:val="en-US"/>
        </w:rPr>
        <w:t xml:space="preserve"> </w:t>
      </w:r>
      <w:r w:rsidR="00FA218B" w:rsidRPr="001E7605">
        <w:rPr>
          <w:rFonts w:ascii="Calibri" w:eastAsia="Calibri" w:hAnsi="Calibri" w:cs="Times New Roman"/>
          <w:b/>
          <w:bCs/>
          <w:color w:val="000000" w:themeColor="text1"/>
          <w:lang w:val="en-US"/>
        </w:rPr>
        <w:t>A)</w:t>
      </w:r>
      <w:r w:rsidR="00FA218B" w:rsidRPr="001E7605">
        <w:rPr>
          <w:rFonts w:ascii="Calibri" w:eastAsia="Calibri" w:hAnsi="Calibri" w:cs="Times New Roman"/>
          <w:color w:val="000000" w:themeColor="text1"/>
          <w:lang w:val="en-US"/>
        </w:rPr>
        <w:t xml:space="preserve"> Relative mRNA expression of </w:t>
      </w:r>
      <w:r w:rsidR="00FA218B" w:rsidRPr="001E7605">
        <w:rPr>
          <w:rFonts w:ascii="Calibri" w:eastAsia="Calibri" w:hAnsi="Calibri" w:cs="Times New Roman"/>
          <w:i/>
          <w:iCs/>
          <w:color w:val="000000" w:themeColor="text1"/>
          <w:lang w:val="en-US"/>
        </w:rPr>
        <w:t>KCNA5</w:t>
      </w:r>
      <w:r w:rsidR="00FA218B" w:rsidRPr="001E7605">
        <w:rPr>
          <w:rFonts w:ascii="Calibri" w:eastAsia="Calibri" w:hAnsi="Calibri" w:cs="Times New Roman"/>
          <w:color w:val="000000" w:themeColor="text1"/>
          <w:lang w:val="en-US"/>
        </w:rPr>
        <w:t xml:space="preserve">, </w:t>
      </w:r>
      <w:r w:rsidR="00FA218B" w:rsidRPr="001E7605">
        <w:rPr>
          <w:rFonts w:ascii="Calibri" w:eastAsia="Calibri" w:hAnsi="Calibri" w:cs="Times New Roman"/>
          <w:i/>
          <w:iCs/>
          <w:color w:val="000000" w:themeColor="text1"/>
          <w:lang w:val="en-US"/>
        </w:rPr>
        <w:t>LGI3</w:t>
      </w:r>
      <w:r w:rsidR="00FA218B" w:rsidRPr="001E7605">
        <w:rPr>
          <w:rFonts w:ascii="Calibri" w:eastAsia="Calibri" w:hAnsi="Calibri" w:cs="Times New Roman"/>
          <w:color w:val="000000" w:themeColor="text1"/>
          <w:lang w:val="en-US"/>
        </w:rPr>
        <w:t xml:space="preserve"> and </w:t>
      </w:r>
      <w:r w:rsidR="00FA218B" w:rsidRPr="001E7605">
        <w:rPr>
          <w:rFonts w:ascii="Calibri" w:eastAsia="Calibri" w:hAnsi="Calibri" w:cs="Times New Roman"/>
          <w:i/>
          <w:iCs/>
          <w:color w:val="000000" w:themeColor="text1"/>
          <w:lang w:val="en-US"/>
        </w:rPr>
        <w:t>LGI4</w:t>
      </w:r>
      <w:r w:rsidR="00FA218B" w:rsidRPr="001E7605">
        <w:rPr>
          <w:rFonts w:ascii="Calibri" w:eastAsia="Calibri" w:hAnsi="Calibri" w:cs="Times New Roman"/>
          <w:color w:val="000000" w:themeColor="text1"/>
          <w:lang w:val="en-US"/>
        </w:rPr>
        <w:t xml:space="preserve"> in right atria tissue from patients in SR and with AF determined with qPCR. </w:t>
      </w:r>
      <w:r w:rsidR="00FA218B" w:rsidRPr="001E7605">
        <w:rPr>
          <w:rFonts w:ascii="Calibri" w:eastAsia="Calibri" w:hAnsi="Calibri" w:cs="Times New Roman"/>
          <w:b/>
          <w:bCs/>
          <w:color w:val="000000" w:themeColor="text1"/>
          <w:lang w:val="en-US"/>
        </w:rPr>
        <w:t>B)</w:t>
      </w:r>
      <w:r w:rsidR="00FA218B" w:rsidRPr="001E7605">
        <w:rPr>
          <w:rFonts w:ascii="Calibri" w:eastAsia="Calibri" w:hAnsi="Calibri" w:cs="Times New Roman"/>
          <w:color w:val="000000" w:themeColor="text1"/>
          <w:lang w:val="en-US"/>
        </w:rPr>
        <w:t xml:space="preserve"> Relative protein expression of K</w:t>
      </w:r>
      <w:r w:rsidR="00FA218B" w:rsidRPr="001E7605">
        <w:rPr>
          <w:rFonts w:ascii="Calibri" w:eastAsia="Calibri" w:hAnsi="Calibri" w:cs="Times New Roman"/>
          <w:color w:val="000000" w:themeColor="text1"/>
          <w:vertAlign w:val="subscript"/>
          <w:lang w:val="en-US"/>
        </w:rPr>
        <w:t>V</w:t>
      </w:r>
      <w:r w:rsidR="00FA218B" w:rsidRPr="001E7605">
        <w:rPr>
          <w:rFonts w:ascii="Calibri" w:eastAsia="Calibri" w:hAnsi="Calibri" w:cs="Times New Roman"/>
          <w:color w:val="000000" w:themeColor="text1"/>
          <w:lang w:val="en-US"/>
        </w:rPr>
        <w:t>1.5, Lgi3 and Lgi4</w:t>
      </w:r>
      <w:r w:rsidR="00FA218B" w:rsidRPr="001E7605">
        <w:rPr>
          <w:rFonts w:ascii="Calibri" w:eastAsia="Calibri" w:hAnsi="Calibri" w:cs="Times New Roman"/>
          <w:i/>
          <w:iCs/>
          <w:color w:val="000000" w:themeColor="text1"/>
          <w:lang w:val="en-US"/>
        </w:rPr>
        <w:t xml:space="preserve"> </w:t>
      </w:r>
      <w:r w:rsidR="00FA218B" w:rsidRPr="001E7605">
        <w:rPr>
          <w:rFonts w:ascii="Calibri" w:eastAsia="Calibri" w:hAnsi="Calibri" w:cs="Times New Roman"/>
          <w:color w:val="000000" w:themeColor="text1"/>
          <w:lang w:val="en-US"/>
        </w:rPr>
        <w:t>in right atria tissue from patients in SR and with AF probed in western-blot with anti-K</w:t>
      </w:r>
      <w:r w:rsidR="00FA218B" w:rsidRPr="001E7605">
        <w:rPr>
          <w:rFonts w:ascii="Calibri" w:eastAsia="Calibri" w:hAnsi="Calibri" w:cs="Times New Roman"/>
          <w:color w:val="000000" w:themeColor="text1"/>
          <w:vertAlign w:val="subscript"/>
          <w:lang w:val="en-US"/>
        </w:rPr>
        <w:t>V</w:t>
      </w:r>
      <w:r w:rsidR="00FA218B" w:rsidRPr="001E7605">
        <w:rPr>
          <w:rFonts w:ascii="Calibri" w:eastAsia="Calibri" w:hAnsi="Calibri" w:cs="Times New Roman"/>
          <w:color w:val="000000" w:themeColor="text1"/>
          <w:lang w:val="en-US"/>
        </w:rPr>
        <w:t xml:space="preserve">1.5, anti-Lgi3 or anti-Lgi4 antibodies and normalized by vinculin expression. </w:t>
      </w:r>
      <w:r w:rsidR="00FA218B" w:rsidRPr="001E7605">
        <w:rPr>
          <w:rFonts w:ascii="Calibri" w:eastAsia="Calibri" w:hAnsi="Calibri" w:cs="Times New Roman"/>
          <w:b/>
          <w:color w:val="000000" w:themeColor="text1"/>
          <w:lang w:val="en-US"/>
        </w:rPr>
        <w:t>C)</w:t>
      </w:r>
      <w:r w:rsidR="00FA218B" w:rsidRPr="001E7605">
        <w:rPr>
          <w:rFonts w:ascii="Calibri" w:eastAsia="Calibri" w:hAnsi="Calibri" w:cs="Times New Roman"/>
          <w:color w:val="000000" w:themeColor="text1"/>
          <w:lang w:val="en-US"/>
        </w:rPr>
        <w:t xml:space="preserve"> Relative protein expression of K</w:t>
      </w:r>
      <w:r w:rsidR="00FA218B" w:rsidRPr="001E7605">
        <w:rPr>
          <w:rFonts w:ascii="Calibri" w:eastAsia="Calibri" w:hAnsi="Calibri" w:cs="Times New Roman"/>
          <w:color w:val="000000" w:themeColor="text1"/>
          <w:vertAlign w:val="subscript"/>
          <w:lang w:val="en-US"/>
        </w:rPr>
        <w:t>V</w:t>
      </w:r>
      <w:r w:rsidR="00FA218B" w:rsidRPr="001E7605">
        <w:rPr>
          <w:rFonts w:ascii="Calibri" w:eastAsia="Calibri" w:hAnsi="Calibri" w:cs="Times New Roman"/>
          <w:color w:val="000000" w:themeColor="text1"/>
          <w:lang w:val="en-US"/>
        </w:rPr>
        <w:t>1.5, Lgi3 and Lgi4 in atrial myocytes from patients in SR and with AF measured in individual cardiomyocytes from confocal images obtained at 40X. Each point represents the mean of 50-100 CMs from two independent IF in each patient. (Non-paired t-test *</w:t>
      </w:r>
      <w:r w:rsidR="00FA218B" w:rsidRPr="001E7605">
        <w:rPr>
          <w:rFonts w:ascii="Calibri" w:eastAsia="Calibri" w:hAnsi="Calibri" w:cs="Times New Roman"/>
          <w:i/>
          <w:iCs/>
          <w:color w:val="000000" w:themeColor="text1"/>
          <w:lang w:val="en-US"/>
        </w:rPr>
        <w:t>p</w:t>
      </w:r>
      <w:r w:rsidR="00FA218B" w:rsidRPr="001E7605">
        <w:rPr>
          <w:rFonts w:ascii="Calibri" w:eastAsia="Calibri" w:hAnsi="Calibri" w:cs="Times New Roman"/>
          <w:color w:val="000000" w:themeColor="text1"/>
          <w:lang w:val="en-US"/>
        </w:rPr>
        <w:t xml:space="preserve"> &lt; 0.05). </w:t>
      </w:r>
      <w:r w:rsidR="00FA218B" w:rsidRPr="001E7605">
        <w:rPr>
          <w:rFonts w:ascii="Calibri" w:eastAsia="Calibri" w:hAnsi="Calibri" w:cs="Times New Roman"/>
          <w:b/>
          <w:color w:val="000000" w:themeColor="text1"/>
          <w:lang w:val="en-US"/>
        </w:rPr>
        <w:t>D)</w:t>
      </w:r>
      <w:r w:rsidR="00FA218B" w:rsidRPr="001E7605">
        <w:rPr>
          <w:rFonts w:ascii="Calibri" w:eastAsia="Calibri" w:hAnsi="Calibri" w:cs="Times New Roman"/>
          <w:color w:val="000000" w:themeColor="text1"/>
          <w:lang w:val="en-US"/>
        </w:rPr>
        <w:t xml:space="preserve"> Correlation between </w:t>
      </w:r>
      <w:r w:rsidR="00FA218B" w:rsidRPr="001E7605">
        <w:rPr>
          <w:rFonts w:ascii="Calibri" w:eastAsia="Calibri" w:hAnsi="Calibri" w:cs="Times New Roman"/>
          <w:i/>
          <w:iCs/>
          <w:color w:val="000000" w:themeColor="text1"/>
          <w:lang w:val="en-US"/>
        </w:rPr>
        <w:t>LGI3</w:t>
      </w:r>
      <w:r w:rsidR="00FA218B" w:rsidRPr="001E7605">
        <w:rPr>
          <w:rFonts w:ascii="Calibri" w:eastAsia="Calibri" w:hAnsi="Calibri" w:cs="Times New Roman"/>
          <w:color w:val="000000" w:themeColor="text1"/>
          <w:lang w:val="en-US"/>
        </w:rPr>
        <w:t xml:space="preserve"> and </w:t>
      </w:r>
      <w:r w:rsidR="00FA218B" w:rsidRPr="001E7605">
        <w:rPr>
          <w:rFonts w:ascii="Calibri" w:eastAsia="Calibri" w:hAnsi="Calibri" w:cs="Times New Roman"/>
          <w:i/>
          <w:iCs/>
          <w:color w:val="000000" w:themeColor="text1"/>
          <w:lang w:val="en-US"/>
        </w:rPr>
        <w:t>KCNA5</w:t>
      </w:r>
      <w:r w:rsidR="00FA218B" w:rsidRPr="001E7605">
        <w:rPr>
          <w:rFonts w:ascii="Calibri" w:eastAsia="Calibri" w:hAnsi="Calibri" w:cs="Times New Roman"/>
          <w:color w:val="000000" w:themeColor="text1"/>
          <w:lang w:val="en-US"/>
        </w:rPr>
        <w:t xml:space="preserve"> (left), </w:t>
      </w:r>
      <w:r w:rsidR="00FA218B" w:rsidRPr="001E7605">
        <w:rPr>
          <w:rFonts w:ascii="Calibri" w:eastAsia="Calibri" w:hAnsi="Calibri" w:cs="Times New Roman"/>
          <w:i/>
          <w:iCs/>
          <w:color w:val="000000" w:themeColor="text1"/>
          <w:lang w:val="en-US"/>
        </w:rPr>
        <w:t>LGI4</w:t>
      </w:r>
      <w:r w:rsidR="00FA218B" w:rsidRPr="001E7605">
        <w:rPr>
          <w:rFonts w:ascii="Calibri" w:eastAsia="Calibri" w:hAnsi="Calibri" w:cs="Times New Roman"/>
          <w:color w:val="000000" w:themeColor="text1"/>
          <w:lang w:val="en-US"/>
        </w:rPr>
        <w:t xml:space="preserve"> and </w:t>
      </w:r>
      <w:r w:rsidR="00FA218B" w:rsidRPr="001E7605">
        <w:rPr>
          <w:rFonts w:ascii="Calibri" w:eastAsia="Calibri" w:hAnsi="Calibri" w:cs="Times New Roman"/>
          <w:i/>
          <w:iCs/>
          <w:color w:val="000000" w:themeColor="text1"/>
          <w:lang w:val="en-US"/>
        </w:rPr>
        <w:t>KCNA5</w:t>
      </w:r>
      <w:r w:rsidR="00FA218B" w:rsidRPr="001E7605">
        <w:rPr>
          <w:rFonts w:ascii="Calibri" w:eastAsia="Calibri" w:hAnsi="Calibri" w:cs="Times New Roman"/>
          <w:color w:val="000000" w:themeColor="text1"/>
          <w:lang w:val="en-US"/>
        </w:rPr>
        <w:t xml:space="preserve"> (middle) and </w:t>
      </w:r>
      <w:r w:rsidR="00FA218B" w:rsidRPr="001E7605">
        <w:rPr>
          <w:rFonts w:ascii="Calibri" w:eastAsia="Calibri" w:hAnsi="Calibri" w:cs="Times New Roman"/>
          <w:i/>
          <w:iCs/>
          <w:color w:val="000000" w:themeColor="text1"/>
          <w:lang w:val="en-US"/>
        </w:rPr>
        <w:t>LGI3</w:t>
      </w:r>
      <w:r w:rsidR="00FA218B" w:rsidRPr="001E7605">
        <w:rPr>
          <w:rFonts w:ascii="Calibri" w:eastAsia="Calibri" w:hAnsi="Calibri" w:cs="Times New Roman"/>
          <w:color w:val="000000" w:themeColor="text1"/>
          <w:lang w:val="en-US"/>
        </w:rPr>
        <w:t xml:space="preserve"> and </w:t>
      </w:r>
      <w:r w:rsidR="00FA218B" w:rsidRPr="001E7605">
        <w:rPr>
          <w:rFonts w:ascii="Calibri" w:eastAsia="Calibri" w:hAnsi="Calibri" w:cs="Times New Roman"/>
          <w:i/>
          <w:iCs/>
          <w:color w:val="000000" w:themeColor="text1"/>
          <w:lang w:val="en-US"/>
        </w:rPr>
        <w:t>LGI4</w:t>
      </w:r>
      <w:r w:rsidR="00FA218B" w:rsidRPr="001E7605">
        <w:rPr>
          <w:rFonts w:ascii="Calibri" w:eastAsia="Calibri" w:hAnsi="Calibri" w:cs="Times New Roman"/>
          <w:color w:val="000000" w:themeColor="text1"/>
          <w:lang w:val="en-US"/>
        </w:rPr>
        <w:t xml:space="preserve"> (right) mRNA expression. The regression line is shown in black and the 95 % confidence interval in grey. </w:t>
      </w:r>
      <w:r w:rsidR="00FA218B" w:rsidRPr="001E7605">
        <w:rPr>
          <w:rFonts w:ascii="Calibri" w:eastAsia="Calibri" w:hAnsi="Calibri" w:cs="Times New Roman"/>
          <w:b/>
          <w:color w:val="000000" w:themeColor="text1"/>
          <w:lang w:val="en-US"/>
        </w:rPr>
        <w:t>D)</w:t>
      </w:r>
      <w:r w:rsidR="00FA218B" w:rsidRPr="001E7605">
        <w:rPr>
          <w:rFonts w:ascii="Calibri" w:eastAsia="Calibri" w:hAnsi="Calibri" w:cs="Times New Roman"/>
          <w:color w:val="000000" w:themeColor="text1"/>
          <w:lang w:val="en-US"/>
        </w:rPr>
        <w:t xml:space="preserve"> Correlation between Lgi3 and K</w:t>
      </w:r>
      <w:r w:rsidR="00FA218B" w:rsidRPr="001E7605">
        <w:rPr>
          <w:rFonts w:ascii="Calibri" w:eastAsia="Calibri" w:hAnsi="Calibri" w:cs="Times New Roman"/>
          <w:color w:val="000000" w:themeColor="text1"/>
          <w:vertAlign w:val="subscript"/>
          <w:lang w:val="en-US"/>
        </w:rPr>
        <w:t>V</w:t>
      </w:r>
      <w:r w:rsidR="00FA218B" w:rsidRPr="001E7605">
        <w:rPr>
          <w:rFonts w:ascii="Calibri" w:eastAsia="Calibri" w:hAnsi="Calibri" w:cs="Times New Roman"/>
          <w:color w:val="000000" w:themeColor="text1"/>
          <w:lang w:val="en-US"/>
        </w:rPr>
        <w:t>1.5 (left), Lgi4 and K</w:t>
      </w:r>
      <w:r w:rsidR="00FA218B" w:rsidRPr="001E7605">
        <w:rPr>
          <w:rFonts w:ascii="Calibri" w:eastAsia="Calibri" w:hAnsi="Calibri" w:cs="Times New Roman"/>
          <w:color w:val="000000" w:themeColor="text1"/>
          <w:vertAlign w:val="subscript"/>
          <w:lang w:val="en-US"/>
        </w:rPr>
        <w:t>V</w:t>
      </w:r>
      <w:r w:rsidR="00FA218B" w:rsidRPr="001E7605">
        <w:rPr>
          <w:rFonts w:ascii="Calibri" w:eastAsia="Calibri" w:hAnsi="Calibri" w:cs="Times New Roman"/>
          <w:color w:val="000000" w:themeColor="text1"/>
          <w:lang w:val="en-US"/>
        </w:rPr>
        <w:t xml:space="preserve">1.5 (middle) and Lgi3 and Lgi4 (right) protein expression measured with western-blot. The regression line is shown in black and the 95 % confidence interval in grey. </w:t>
      </w:r>
    </w:p>
    <w:p w14:paraId="21993329" w14:textId="77777777" w:rsidR="00A60882" w:rsidRPr="001E7605" w:rsidRDefault="00A60882">
      <w:pPr>
        <w:spacing w:after="160" w:line="259" w:lineRule="auto"/>
        <w:rPr>
          <w:lang w:val="en-US"/>
        </w:rPr>
      </w:pPr>
      <w:r w:rsidRPr="001E7605">
        <w:rPr>
          <w:lang w:val="en-US"/>
        </w:rPr>
        <w:br w:type="page"/>
      </w:r>
    </w:p>
    <w:p w14:paraId="6469F13E" w14:textId="77777777" w:rsidR="00A60882" w:rsidRPr="001E7605" w:rsidRDefault="00A60882">
      <w:pPr>
        <w:spacing w:after="160" w:line="259" w:lineRule="auto"/>
        <w:rPr>
          <w:lang w:val="en-US"/>
        </w:rPr>
      </w:pPr>
      <w:r w:rsidRPr="001E7605">
        <w:rPr>
          <w:noProof/>
          <w:lang w:val="en-US"/>
        </w:rPr>
        <w:lastRenderedPageBreak/>
        <w:drawing>
          <wp:inline distT="0" distB="0" distL="0" distR="0" wp14:anchorId="5886DE9C" wp14:editId="25C5AFB4">
            <wp:extent cx="5724525" cy="2828925"/>
            <wp:effectExtent l="0" t="0" r="9525" b="9525"/>
            <wp:docPr id="165246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6106" b="59677"/>
                    <a:stretch>
                      <a:fillRect/>
                    </a:stretch>
                  </pic:blipFill>
                  <pic:spPr bwMode="auto">
                    <a:xfrm>
                      <a:off x="0" y="0"/>
                      <a:ext cx="5724525" cy="2828925"/>
                    </a:xfrm>
                    <a:prstGeom prst="rect">
                      <a:avLst/>
                    </a:prstGeom>
                    <a:noFill/>
                    <a:ln>
                      <a:noFill/>
                    </a:ln>
                    <a:extLst>
                      <a:ext uri="{53640926-AAD7-44D8-BBD7-CCE9431645EC}">
                        <a14:shadowObscured xmlns:a14="http://schemas.microsoft.com/office/drawing/2010/main"/>
                      </a:ext>
                    </a:extLst>
                  </pic:spPr>
                </pic:pic>
              </a:graphicData>
            </a:graphic>
          </wp:inline>
        </w:drawing>
      </w:r>
    </w:p>
    <w:p w14:paraId="6FF7F215" w14:textId="0355804E" w:rsidR="00996792" w:rsidRPr="001E7605" w:rsidRDefault="00A60882">
      <w:pPr>
        <w:spacing w:after="160" w:line="259" w:lineRule="auto"/>
        <w:rPr>
          <w:rFonts w:ascii="Calibri" w:eastAsia="Calibri" w:hAnsi="Calibri" w:cs="Times New Roman"/>
          <w:b/>
          <w:bCs/>
          <w:color w:val="000000" w:themeColor="text1"/>
          <w:lang w:val="en-US"/>
        </w:rPr>
      </w:pPr>
      <w:r w:rsidRPr="005D6169">
        <w:rPr>
          <w:rFonts w:ascii="Calibri" w:eastAsia="Calibri" w:hAnsi="Calibri" w:cs="Times New Roman"/>
          <w:b/>
          <w:bCs/>
          <w:color w:val="000000" w:themeColor="text1"/>
          <w:lang w:val="en-US"/>
        </w:rPr>
        <w:t xml:space="preserve">Figure </w:t>
      </w:r>
      <w:r w:rsidR="00BC53C8" w:rsidRPr="005D6169">
        <w:rPr>
          <w:rFonts w:ascii="Calibri" w:eastAsia="Calibri" w:hAnsi="Calibri" w:cs="Times New Roman"/>
          <w:b/>
          <w:bCs/>
          <w:color w:val="000000" w:themeColor="text1"/>
          <w:lang w:val="en-US"/>
        </w:rPr>
        <w:t>S14</w:t>
      </w:r>
      <w:r w:rsidRPr="005D6169">
        <w:rPr>
          <w:rFonts w:ascii="Calibri" w:eastAsia="Calibri" w:hAnsi="Calibri" w:cs="Times New Roman"/>
          <w:b/>
          <w:bCs/>
          <w:color w:val="000000" w:themeColor="text1"/>
          <w:lang w:val="en-US"/>
        </w:rPr>
        <w:t>. Uncropped</w:t>
      </w:r>
      <w:r w:rsidRPr="00A945AB">
        <w:rPr>
          <w:rFonts w:ascii="Calibri" w:eastAsia="Calibri" w:hAnsi="Calibri" w:cs="Times New Roman"/>
          <w:b/>
          <w:bCs/>
          <w:color w:val="000000" w:themeColor="text1"/>
          <w:lang w:val="en-US"/>
        </w:rPr>
        <w:t xml:space="preserve"> images for western blot gels presented in Figure 1. Red boxes mark the borders of the final cropped images.</w:t>
      </w:r>
      <w:r w:rsidRPr="001E7605">
        <w:rPr>
          <w:rFonts w:ascii="Calibri" w:eastAsia="Calibri" w:hAnsi="Calibri" w:cs="Times New Roman"/>
          <w:b/>
          <w:bCs/>
          <w:color w:val="000000" w:themeColor="text1"/>
          <w:lang w:val="en-US"/>
        </w:rPr>
        <w:t xml:space="preserve"> </w:t>
      </w:r>
    </w:p>
    <w:p w14:paraId="58444E21" w14:textId="77777777" w:rsidR="00996792" w:rsidRPr="001E7605" w:rsidRDefault="00996792">
      <w:pPr>
        <w:spacing w:after="160" w:line="259" w:lineRule="auto"/>
        <w:rPr>
          <w:rFonts w:ascii="Calibri" w:eastAsia="Calibri" w:hAnsi="Calibri" w:cs="Times New Roman"/>
          <w:b/>
          <w:bCs/>
          <w:color w:val="000000" w:themeColor="text1"/>
          <w:lang w:val="en-US"/>
        </w:rPr>
      </w:pPr>
      <w:r w:rsidRPr="001E7605">
        <w:rPr>
          <w:rFonts w:ascii="Calibri" w:eastAsia="Calibri" w:hAnsi="Calibri" w:cs="Times New Roman"/>
          <w:b/>
          <w:bCs/>
          <w:color w:val="000000" w:themeColor="text1"/>
          <w:lang w:val="en-US"/>
        </w:rPr>
        <w:br w:type="page"/>
      </w:r>
    </w:p>
    <w:p w14:paraId="4B1DFB91" w14:textId="77777777" w:rsidR="00996792" w:rsidRPr="001E7605" w:rsidRDefault="00996792">
      <w:pPr>
        <w:spacing w:after="160" w:line="259" w:lineRule="auto"/>
        <w:rPr>
          <w:lang w:val="en-US"/>
        </w:rPr>
      </w:pPr>
      <w:r w:rsidRPr="001E7605">
        <w:rPr>
          <w:noProof/>
          <w:lang w:val="en-US"/>
        </w:rPr>
        <w:lastRenderedPageBreak/>
        <w:drawing>
          <wp:inline distT="0" distB="0" distL="0" distR="0" wp14:anchorId="527421B5" wp14:editId="478C16D6">
            <wp:extent cx="5723543" cy="1543792"/>
            <wp:effectExtent l="0" t="0" r="0" b="0"/>
            <wp:docPr id="9694926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8034" b="73314"/>
                    <a:stretch>
                      <a:fillRect/>
                    </a:stretch>
                  </pic:blipFill>
                  <pic:spPr bwMode="auto">
                    <a:xfrm>
                      <a:off x="0" y="0"/>
                      <a:ext cx="5723890" cy="1543886"/>
                    </a:xfrm>
                    <a:prstGeom prst="rect">
                      <a:avLst/>
                    </a:prstGeom>
                    <a:noFill/>
                    <a:ln>
                      <a:noFill/>
                    </a:ln>
                    <a:extLst>
                      <a:ext uri="{53640926-AAD7-44D8-BBD7-CCE9431645EC}">
                        <a14:shadowObscured xmlns:a14="http://schemas.microsoft.com/office/drawing/2010/main"/>
                      </a:ext>
                    </a:extLst>
                  </pic:spPr>
                </pic:pic>
              </a:graphicData>
            </a:graphic>
          </wp:inline>
        </w:drawing>
      </w:r>
    </w:p>
    <w:p w14:paraId="51CC8AE7" w14:textId="0227DA60" w:rsidR="00996792" w:rsidRPr="001E7605" w:rsidRDefault="00996792" w:rsidP="00996792">
      <w:pPr>
        <w:spacing w:after="160" w:line="259" w:lineRule="auto"/>
        <w:rPr>
          <w:rFonts w:ascii="Calibri" w:eastAsia="Calibri" w:hAnsi="Calibri" w:cs="Times New Roman"/>
          <w:b/>
          <w:bCs/>
          <w:color w:val="000000" w:themeColor="text1"/>
          <w:lang w:val="en-US"/>
        </w:rPr>
      </w:pPr>
      <w:r w:rsidRPr="005D6169">
        <w:rPr>
          <w:rFonts w:ascii="Calibri" w:eastAsia="Calibri" w:hAnsi="Calibri" w:cs="Times New Roman"/>
          <w:b/>
          <w:bCs/>
          <w:color w:val="000000" w:themeColor="text1"/>
          <w:lang w:val="en-US"/>
        </w:rPr>
        <w:t xml:space="preserve">Figure </w:t>
      </w:r>
      <w:r w:rsidR="00BC53C8" w:rsidRPr="005D6169">
        <w:rPr>
          <w:rFonts w:ascii="Calibri" w:eastAsia="Calibri" w:hAnsi="Calibri" w:cs="Times New Roman"/>
          <w:b/>
          <w:bCs/>
          <w:color w:val="000000" w:themeColor="text1"/>
          <w:lang w:val="en-US"/>
        </w:rPr>
        <w:t>S15</w:t>
      </w:r>
      <w:r w:rsidRPr="005D6169">
        <w:rPr>
          <w:rFonts w:ascii="Calibri" w:eastAsia="Calibri" w:hAnsi="Calibri" w:cs="Times New Roman"/>
          <w:b/>
          <w:bCs/>
          <w:color w:val="000000" w:themeColor="text1"/>
          <w:lang w:val="en-US"/>
        </w:rPr>
        <w:t>. Uncr</w:t>
      </w:r>
      <w:r w:rsidRPr="00A945AB">
        <w:rPr>
          <w:rFonts w:ascii="Calibri" w:eastAsia="Calibri" w:hAnsi="Calibri" w:cs="Times New Roman"/>
          <w:b/>
          <w:bCs/>
          <w:color w:val="000000" w:themeColor="text1"/>
          <w:lang w:val="en-US"/>
        </w:rPr>
        <w:t>opped images for western blot gels presented in Figure S4. Red boxes mark the borders of the final cropped images.</w:t>
      </w:r>
      <w:r w:rsidRPr="001E7605">
        <w:rPr>
          <w:rFonts w:ascii="Calibri" w:eastAsia="Calibri" w:hAnsi="Calibri" w:cs="Times New Roman"/>
          <w:b/>
          <w:bCs/>
          <w:color w:val="000000" w:themeColor="text1"/>
          <w:lang w:val="en-US"/>
        </w:rPr>
        <w:t xml:space="preserve"> </w:t>
      </w:r>
    </w:p>
    <w:p w14:paraId="65B18E6C" w14:textId="77777777" w:rsidR="00996792" w:rsidRPr="001E7605" w:rsidRDefault="00996792">
      <w:pPr>
        <w:spacing w:after="160" w:line="259" w:lineRule="auto"/>
        <w:rPr>
          <w:rFonts w:ascii="Calibri" w:eastAsia="Calibri" w:hAnsi="Calibri" w:cs="Times New Roman"/>
          <w:b/>
          <w:bCs/>
          <w:color w:val="000000" w:themeColor="text1"/>
          <w:lang w:val="en-US"/>
        </w:rPr>
      </w:pPr>
      <w:r w:rsidRPr="001E7605">
        <w:rPr>
          <w:rFonts w:ascii="Calibri" w:eastAsia="Calibri" w:hAnsi="Calibri" w:cs="Times New Roman"/>
          <w:b/>
          <w:bCs/>
          <w:color w:val="000000" w:themeColor="text1"/>
          <w:lang w:val="en-US"/>
        </w:rPr>
        <w:br w:type="page"/>
      </w:r>
    </w:p>
    <w:p w14:paraId="370B0F42" w14:textId="4B771259" w:rsidR="00996792" w:rsidRPr="001E7605" w:rsidRDefault="00996792" w:rsidP="00996792">
      <w:pPr>
        <w:spacing w:after="160" w:line="259" w:lineRule="auto"/>
        <w:rPr>
          <w:rFonts w:ascii="Calibri" w:eastAsia="Calibri" w:hAnsi="Calibri" w:cs="Times New Roman"/>
          <w:b/>
          <w:bCs/>
          <w:color w:val="000000" w:themeColor="text1"/>
          <w:lang w:val="en-US"/>
        </w:rPr>
      </w:pPr>
      <w:r w:rsidRPr="001E7605">
        <w:rPr>
          <w:rFonts w:ascii="Calibri" w:eastAsia="Calibri" w:hAnsi="Calibri" w:cs="Times New Roman"/>
          <w:b/>
          <w:bCs/>
          <w:noProof/>
          <w:color w:val="000000" w:themeColor="text1"/>
          <w:lang w:val="en-US"/>
        </w:rPr>
        <w:lastRenderedPageBreak/>
        <w:drawing>
          <wp:inline distT="0" distB="0" distL="0" distR="0" wp14:anchorId="72999FF3" wp14:editId="17A2470A">
            <wp:extent cx="5723890" cy="5237018"/>
            <wp:effectExtent l="0" t="0" r="0" b="1905"/>
            <wp:docPr id="7579953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36730"/>
                    <a:stretch>
                      <a:fillRect/>
                    </a:stretch>
                  </pic:blipFill>
                  <pic:spPr bwMode="auto">
                    <a:xfrm>
                      <a:off x="0" y="0"/>
                      <a:ext cx="5723890" cy="5237018"/>
                    </a:xfrm>
                    <a:prstGeom prst="rect">
                      <a:avLst/>
                    </a:prstGeom>
                    <a:noFill/>
                    <a:ln>
                      <a:noFill/>
                    </a:ln>
                    <a:extLst>
                      <a:ext uri="{53640926-AAD7-44D8-BBD7-CCE9431645EC}">
                        <a14:shadowObscured xmlns:a14="http://schemas.microsoft.com/office/drawing/2010/main"/>
                      </a:ext>
                    </a:extLst>
                  </pic:spPr>
                </pic:pic>
              </a:graphicData>
            </a:graphic>
          </wp:inline>
        </w:drawing>
      </w:r>
    </w:p>
    <w:p w14:paraId="109ED91E" w14:textId="4DF14487" w:rsidR="00996792" w:rsidRPr="001E7605" w:rsidRDefault="00996792" w:rsidP="00996792">
      <w:pPr>
        <w:spacing w:after="160" w:line="259" w:lineRule="auto"/>
        <w:rPr>
          <w:rFonts w:ascii="Calibri" w:eastAsia="Calibri" w:hAnsi="Calibri" w:cs="Times New Roman"/>
          <w:b/>
          <w:bCs/>
          <w:color w:val="000000" w:themeColor="text1"/>
          <w:lang w:val="en-US"/>
        </w:rPr>
      </w:pPr>
      <w:r w:rsidRPr="005D6169">
        <w:rPr>
          <w:rFonts w:ascii="Calibri" w:eastAsia="Calibri" w:hAnsi="Calibri" w:cs="Times New Roman"/>
          <w:b/>
          <w:bCs/>
          <w:color w:val="000000" w:themeColor="text1"/>
          <w:lang w:val="en-US"/>
        </w:rPr>
        <w:t xml:space="preserve">Figure </w:t>
      </w:r>
      <w:r w:rsidR="00BC53C8" w:rsidRPr="005D6169">
        <w:rPr>
          <w:rFonts w:ascii="Calibri" w:eastAsia="Calibri" w:hAnsi="Calibri" w:cs="Times New Roman"/>
          <w:b/>
          <w:bCs/>
          <w:color w:val="000000" w:themeColor="text1"/>
          <w:lang w:val="en-US"/>
        </w:rPr>
        <w:t>S16</w:t>
      </w:r>
      <w:r w:rsidRPr="005D6169">
        <w:rPr>
          <w:rFonts w:ascii="Calibri" w:eastAsia="Calibri" w:hAnsi="Calibri" w:cs="Times New Roman"/>
          <w:b/>
          <w:bCs/>
          <w:color w:val="000000" w:themeColor="text1"/>
          <w:lang w:val="en-US"/>
        </w:rPr>
        <w:t>. Un</w:t>
      </w:r>
      <w:r w:rsidRPr="00A945AB">
        <w:rPr>
          <w:rFonts w:ascii="Calibri" w:eastAsia="Calibri" w:hAnsi="Calibri" w:cs="Times New Roman"/>
          <w:b/>
          <w:bCs/>
          <w:color w:val="000000" w:themeColor="text1"/>
          <w:lang w:val="en-US"/>
        </w:rPr>
        <w:t>cropped images for western blot gels presented in Figure 6 (A) and S12 (B). Red boxes mark the borders of the final cropped images.</w:t>
      </w:r>
      <w:r w:rsidRPr="001E7605">
        <w:rPr>
          <w:rFonts w:ascii="Calibri" w:eastAsia="Calibri" w:hAnsi="Calibri" w:cs="Times New Roman"/>
          <w:b/>
          <w:bCs/>
          <w:color w:val="000000" w:themeColor="text1"/>
          <w:lang w:val="en-US"/>
        </w:rPr>
        <w:t xml:space="preserve"> </w:t>
      </w:r>
    </w:p>
    <w:p w14:paraId="7060AC90" w14:textId="77777777" w:rsidR="000C44CF" w:rsidRPr="001E7605" w:rsidRDefault="000C44CF">
      <w:pPr>
        <w:spacing w:after="160" w:line="259" w:lineRule="auto"/>
        <w:rPr>
          <w:lang w:val="en-US"/>
        </w:rPr>
      </w:pPr>
      <w:r w:rsidRPr="001E7605">
        <w:rPr>
          <w:lang w:val="en-US"/>
        </w:rPr>
        <w:br w:type="page"/>
      </w:r>
    </w:p>
    <w:p w14:paraId="0530CC5F" w14:textId="77777777" w:rsidR="000C44CF" w:rsidRPr="001E7605" w:rsidRDefault="000C44CF">
      <w:pPr>
        <w:spacing w:after="160" w:line="259" w:lineRule="auto"/>
        <w:rPr>
          <w:lang w:val="en-US"/>
        </w:rPr>
      </w:pPr>
      <w:r w:rsidRPr="001E7605">
        <w:rPr>
          <w:noProof/>
          <w:lang w:val="en-US"/>
        </w:rPr>
        <w:lastRenderedPageBreak/>
        <w:drawing>
          <wp:inline distT="0" distB="0" distL="0" distR="0" wp14:anchorId="2FD294D1" wp14:editId="40B2C5F6">
            <wp:extent cx="5723823" cy="4512623"/>
            <wp:effectExtent l="0" t="0" r="0" b="2540"/>
            <wp:docPr id="13527952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6313" b="39168"/>
                    <a:stretch>
                      <a:fillRect/>
                    </a:stretch>
                  </pic:blipFill>
                  <pic:spPr bwMode="auto">
                    <a:xfrm>
                      <a:off x="0" y="0"/>
                      <a:ext cx="5723890" cy="4512676"/>
                    </a:xfrm>
                    <a:prstGeom prst="rect">
                      <a:avLst/>
                    </a:prstGeom>
                    <a:noFill/>
                    <a:ln>
                      <a:noFill/>
                    </a:ln>
                    <a:extLst>
                      <a:ext uri="{53640926-AAD7-44D8-BBD7-CCE9431645EC}">
                        <a14:shadowObscured xmlns:a14="http://schemas.microsoft.com/office/drawing/2010/main"/>
                      </a:ext>
                    </a:extLst>
                  </pic:spPr>
                </pic:pic>
              </a:graphicData>
            </a:graphic>
          </wp:inline>
        </w:drawing>
      </w:r>
    </w:p>
    <w:p w14:paraId="0DF987CA" w14:textId="3BDEDCF7" w:rsidR="000C44CF" w:rsidRPr="001E7605" w:rsidRDefault="000C44CF" w:rsidP="000C44CF">
      <w:pPr>
        <w:spacing w:after="160" w:line="259" w:lineRule="auto"/>
        <w:rPr>
          <w:rFonts w:ascii="Calibri" w:eastAsia="Calibri" w:hAnsi="Calibri" w:cs="Times New Roman"/>
          <w:b/>
          <w:bCs/>
          <w:color w:val="000000" w:themeColor="text1"/>
          <w:lang w:val="en-US"/>
        </w:rPr>
      </w:pPr>
      <w:r w:rsidRPr="005D6169">
        <w:rPr>
          <w:rFonts w:ascii="Calibri" w:eastAsia="Calibri" w:hAnsi="Calibri" w:cs="Times New Roman"/>
          <w:b/>
          <w:bCs/>
          <w:color w:val="000000" w:themeColor="text1"/>
          <w:lang w:val="en-US"/>
        </w:rPr>
        <w:t xml:space="preserve">Figure </w:t>
      </w:r>
      <w:r w:rsidR="00BC53C8" w:rsidRPr="005D6169">
        <w:rPr>
          <w:rFonts w:ascii="Calibri" w:eastAsia="Calibri" w:hAnsi="Calibri" w:cs="Times New Roman"/>
          <w:b/>
          <w:bCs/>
          <w:color w:val="000000" w:themeColor="text1"/>
          <w:lang w:val="en-US"/>
        </w:rPr>
        <w:t>S17</w:t>
      </w:r>
      <w:r w:rsidRPr="005D6169">
        <w:rPr>
          <w:rFonts w:ascii="Calibri" w:eastAsia="Calibri" w:hAnsi="Calibri" w:cs="Times New Roman"/>
          <w:b/>
          <w:bCs/>
          <w:color w:val="000000" w:themeColor="text1"/>
          <w:lang w:val="en-US"/>
        </w:rPr>
        <w:t>. Unc</w:t>
      </w:r>
      <w:r w:rsidRPr="00A945AB">
        <w:rPr>
          <w:rFonts w:ascii="Calibri" w:eastAsia="Calibri" w:hAnsi="Calibri" w:cs="Times New Roman"/>
          <w:b/>
          <w:bCs/>
          <w:color w:val="000000" w:themeColor="text1"/>
          <w:lang w:val="en-US"/>
        </w:rPr>
        <w:t>ropped images for western blot gels presented in Figure 7. Red boxes mark the borders of the final cropped images.</w:t>
      </w:r>
      <w:r w:rsidRPr="001E7605">
        <w:rPr>
          <w:rFonts w:ascii="Calibri" w:eastAsia="Calibri" w:hAnsi="Calibri" w:cs="Times New Roman"/>
          <w:b/>
          <w:bCs/>
          <w:color w:val="000000" w:themeColor="text1"/>
          <w:lang w:val="en-US"/>
        </w:rPr>
        <w:t xml:space="preserve"> </w:t>
      </w:r>
    </w:p>
    <w:p w14:paraId="02016A2C" w14:textId="3092A781" w:rsidR="00275477" w:rsidRPr="001E7605" w:rsidRDefault="00275477">
      <w:pPr>
        <w:spacing w:after="160" w:line="259" w:lineRule="auto"/>
        <w:rPr>
          <w:rFonts w:ascii="Garamond" w:eastAsiaTheme="majorEastAsia" w:hAnsi="Garamond" w:cstheme="majorBidi"/>
          <w:bCs/>
          <w:color w:val="000000" w:themeColor="text1"/>
          <w:lang w:val="en-US"/>
        </w:rPr>
      </w:pPr>
      <w:r w:rsidRPr="001E7605">
        <w:rPr>
          <w:lang w:val="en-US"/>
        </w:rPr>
        <w:br w:type="page"/>
      </w:r>
    </w:p>
    <w:p w14:paraId="0D0D1CF5" w14:textId="2657666F" w:rsidR="00FA218B" w:rsidRPr="001E7605" w:rsidRDefault="00FA218B" w:rsidP="00FF720A">
      <w:pPr>
        <w:pStyle w:val="Ttulo3Tesis"/>
      </w:pPr>
      <w:r w:rsidRPr="001E7605">
        <w:lastRenderedPageBreak/>
        <w:t>SUPPLEMENTARY TABLES</w:t>
      </w:r>
    </w:p>
    <w:p w14:paraId="6848F420" w14:textId="27BDD764" w:rsidR="00FA218B" w:rsidRPr="001E7605" w:rsidRDefault="00FA218B" w:rsidP="00FA218B">
      <w:pPr>
        <w:keepNext/>
        <w:keepLines/>
        <w:spacing w:before="240"/>
        <w:outlineLvl w:val="0"/>
        <w:rPr>
          <w:rFonts w:ascii="Garamond" w:eastAsia="Times New Roman" w:hAnsi="Garamond" w:cs="Times New Roman (Cuerpo en alfa"/>
          <w:iCs/>
          <w:color w:val="000000"/>
          <w:sz w:val="21"/>
          <w:szCs w:val="22"/>
          <w:lang w:val="en-GB"/>
        </w:rPr>
      </w:pPr>
      <w:r w:rsidRPr="001E7605">
        <w:rPr>
          <w:rFonts w:ascii="Garamond" w:eastAsia="Times New Roman" w:hAnsi="Garamond" w:cs="Times New Roman (Cuerpo en alfa"/>
          <w:b/>
          <w:bCs/>
          <w:iCs/>
          <w:color w:val="000000"/>
          <w:sz w:val="21"/>
          <w:szCs w:val="22"/>
          <w:lang w:val="en-GB"/>
        </w:rPr>
        <w:t>Table S1.</w:t>
      </w:r>
      <w:r w:rsidRPr="001E7605">
        <w:rPr>
          <w:rFonts w:ascii="Garamond" w:eastAsia="Times New Roman" w:hAnsi="Garamond" w:cs="Times New Roman (Cuerpo en alfa"/>
          <w:iCs/>
          <w:color w:val="000000"/>
          <w:sz w:val="21"/>
          <w:szCs w:val="22"/>
          <w:lang w:val="en-GB"/>
        </w:rPr>
        <w:t xml:space="preserve"> Effects of Lgi3-4 on the percentage of inactivation in K</w:t>
      </w:r>
      <w:r w:rsidRPr="001E7605">
        <w:rPr>
          <w:rFonts w:ascii="Garamond" w:eastAsia="Times New Roman" w:hAnsi="Garamond" w:cs="Times New Roman (Cuerpo en alfa"/>
          <w:iCs/>
          <w:color w:val="000000"/>
          <w:sz w:val="21"/>
          <w:szCs w:val="22"/>
          <w:vertAlign w:val="subscript"/>
          <w:lang w:val="en-GB"/>
        </w:rPr>
        <w:t>V</w:t>
      </w:r>
      <w:r w:rsidRPr="001E7605">
        <w:rPr>
          <w:rFonts w:ascii="Garamond" w:eastAsia="Times New Roman" w:hAnsi="Garamond" w:cs="Times New Roman (Cuerpo en alfa"/>
          <w:iCs/>
          <w:color w:val="000000"/>
          <w:sz w:val="21"/>
          <w:szCs w:val="22"/>
          <w:lang w:val="en-GB"/>
        </w:rPr>
        <w:t>1.5 and K</w:t>
      </w:r>
      <w:r w:rsidRPr="001E7605">
        <w:rPr>
          <w:rFonts w:ascii="Garamond" w:eastAsia="Times New Roman" w:hAnsi="Garamond" w:cs="Times New Roman (Cuerpo en alfa"/>
          <w:iCs/>
          <w:color w:val="000000"/>
          <w:sz w:val="21"/>
          <w:szCs w:val="22"/>
          <w:vertAlign w:val="subscript"/>
          <w:lang w:val="en-GB"/>
        </w:rPr>
        <w:t>V</w:t>
      </w:r>
      <w:r w:rsidRPr="001E7605">
        <w:rPr>
          <w:rFonts w:ascii="Garamond" w:eastAsia="Times New Roman" w:hAnsi="Garamond" w:cs="Times New Roman (Cuerpo en alfa"/>
          <w:iCs/>
          <w:color w:val="000000"/>
          <w:sz w:val="21"/>
          <w:szCs w:val="22"/>
          <w:lang w:val="en-GB"/>
        </w:rPr>
        <w:t>1.5/K</w:t>
      </w:r>
      <w:r w:rsidRPr="001E7605">
        <w:rPr>
          <w:rFonts w:ascii="Garamond" w:eastAsia="Times New Roman" w:hAnsi="Garamond" w:cs="Times New Roman (Cuerpo en alfa"/>
          <w:iCs/>
          <w:color w:val="000000"/>
          <w:sz w:val="21"/>
          <w:szCs w:val="22"/>
          <w:vertAlign w:val="subscript"/>
          <w:lang w:val="en-GB"/>
        </w:rPr>
        <w:t>V</w:t>
      </w:r>
      <w:r w:rsidRPr="001E7605">
        <w:rPr>
          <w:rFonts w:ascii="Garamond" w:eastAsia="Times New Roman" w:hAnsi="Garamond" w:cs="Times New Roman (Cuerpo en alfa"/>
          <w:iCs/>
          <w:color w:val="000000"/>
          <w:sz w:val="21"/>
          <w:szCs w:val="22"/>
        </w:rPr>
        <w:t>β</w:t>
      </w:r>
      <w:r w:rsidRPr="001E7605">
        <w:rPr>
          <w:rFonts w:ascii="Garamond" w:eastAsia="Times New Roman" w:hAnsi="Garamond" w:cs="Times New Roman (Cuerpo en alfa"/>
          <w:iCs/>
          <w:color w:val="000000"/>
          <w:sz w:val="21"/>
          <w:szCs w:val="22"/>
          <w:lang w:val="en-GB"/>
        </w:rPr>
        <w:t>2.1 currents</w:t>
      </w:r>
    </w:p>
    <w:p w14:paraId="38FCF211" w14:textId="77777777" w:rsidR="00047A6F" w:rsidRPr="001E7605" w:rsidRDefault="00047A6F" w:rsidP="00FA218B">
      <w:pPr>
        <w:keepNext/>
        <w:keepLines/>
        <w:spacing w:before="240"/>
        <w:outlineLvl w:val="0"/>
        <w:rPr>
          <w:rFonts w:ascii="Garamond" w:eastAsia="Times New Roman" w:hAnsi="Garamond" w:cs="Times New Roman (Cuerpo en alfa"/>
          <w:iCs/>
          <w:color w:val="000000"/>
          <w:sz w:val="21"/>
          <w:szCs w:val="22"/>
          <w:lang w:val="en-GB"/>
        </w:rPr>
      </w:pPr>
    </w:p>
    <w:tbl>
      <w:tblPr>
        <w:tblStyle w:val="TableGrid1"/>
        <w:tblW w:w="8647" w:type="dxa"/>
        <w:tblLook w:val="04A0" w:firstRow="1" w:lastRow="0" w:firstColumn="1" w:lastColumn="0" w:noHBand="0" w:noVBand="1"/>
      </w:tblPr>
      <w:tblGrid>
        <w:gridCol w:w="2689"/>
        <w:gridCol w:w="3407"/>
        <w:gridCol w:w="2551"/>
      </w:tblGrid>
      <w:tr w:rsidR="00FA218B" w:rsidRPr="001E7605" w14:paraId="78E9477A" w14:textId="77777777" w:rsidTr="00047A6F">
        <w:tc>
          <w:tcPr>
            <w:tcW w:w="2689" w:type="dxa"/>
            <w:tcBorders>
              <w:top w:val="nil"/>
              <w:left w:val="nil"/>
              <w:bottom w:val="double" w:sz="4" w:space="0" w:color="auto"/>
              <w:right w:val="single" w:sz="4" w:space="0" w:color="000000" w:themeColor="text1"/>
            </w:tcBorders>
            <w:vAlign w:val="center"/>
          </w:tcPr>
          <w:p w14:paraId="51CA68B5" w14:textId="77777777" w:rsidR="00FA218B" w:rsidRPr="001E7605" w:rsidRDefault="00FA218B" w:rsidP="00FA218B">
            <w:pPr>
              <w:spacing w:line="276" w:lineRule="auto"/>
              <w:jc w:val="center"/>
              <w:rPr>
                <w:rFonts w:ascii="Garamond" w:eastAsia="Calibri" w:hAnsi="Garamond" w:cs="Times New Roman"/>
                <w:sz w:val="22"/>
                <w:lang w:val="en-GB"/>
              </w:rPr>
            </w:pPr>
          </w:p>
        </w:tc>
        <w:tc>
          <w:tcPr>
            <w:tcW w:w="3407" w:type="dxa"/>
            <w:tcBorders>
              <w:top w:val="single" w:sz="4" w:space="0" w:color="000000" w:themeColor="text1"/>
              <w:left w:val="single" w:sz="4" w:space="0" w:color="000000" w:themeColor="text1"/>
              <w:bottom w:val="double" w:sz="4" w:space="0" w:color="auto"/>
              <w:right w:val="single" w:sz="4" w:space="0" w:color="000000" w:themeColor="text1"/>
            </w:tcBorders>
            <w:shd w:val="clear" w:color="auto" w:fill="F2F2F2" w:themeFill="background1" w:themeFillShade="F2"/>
            <w:vAlign w:val="center"/>
          </w:tcPr>
          <w:p w14:paraId="5D1FD5F9" w14:textId="77777777" w:rsidR="00FA218B" w:rsidRPr="001E7605" w:rsidRDefault="00FA218B" w:rsidP="00FA218B">
            <w:pPr>
              <w:spacing w:line="276" w:lineRule="auto"/>
              <w:jc w:val="center"/>
              <w:rPr>
                <w:rFonts w:ascii="Garamond" w:eastAsia="Calibri" w:hAnsi="Garamond" w:cs="Times New Roman"/>
                <w:b/>
                <w:bCs/>
                <w:sz w:val="22"/>
                <w:lang w:val="en-GB"/>
              </w:rPr>
            </w:pPr>
            <w:r w:rsidRPr="001E7605">
              <w:rPr>
                <w:rFonts w:ascii="Garamond" w:eastAsia="Calibri" w:hAnsi="Garamond" w:cs="Times New Roman"/>
                <w:b/>
                <w:bCs/>
                <w:sz w:val="22"/>
                <w:lang w:val="en-GB"/>
              </w:rPr>
              <w:t>% Inactivation</w:t>
            </w:r>
          </w:p>
        </w:tc>
        <w:tc>
          <w:tcPr>
            <w:tcW w:w="2551" w:type="dxa"/>
            <w:tcBorders>
              <w:top w:val="single" w:sz="4" w:space="0" w:color="000000" w:themeColor="text1"/>
              <w:left w:val="single" w:sz="4" w:space="0" w:color="000000" w:themeColor="text1"/>
              <w:bottom w:val="double" w:sz="4" w:space="0" w:color="auto"/>
              <w:right w:val="single" w:sz="4" w:space="0" w:color="000000" w:themeColor="text1"/>
            </w:tcBorders>
            <w:shd w:val="clear" w:color="auto" w:fill="F2F2F2" w:themeFill="background1" w:themeFillShade="F2"/>
          </w:tcPr>
          <w:p w14:paraId="296092B7" w14:textId="77777777" w:rsidR="00FA218B" w:rsidRPr="001E7605" w:rsidRDefault="00FA218B" w:rsidP="00FA218B">
            <w:pPr>
              <w:spacing w:line="276" w:lineRule="auto"/>
              <w:jc w:val="center"/>
              <w:rPr>
                <w:rFonts w:ascii="Garamond" w:eastAsia="Calibri" w:hAnsi="Garamond" w:cs="Times New Roman"/>
                <w:b/>
                <w:bCs/>
                <w:sz w:val="22"/>
                <w:lang w:val="en-GB"/>
              </w:rPr>
            </w:pPr>
            <w:r w:rsidRPr="001E7605">
              <w:rPr>
                <w:rFonts w:ascii="Garamond" w:eastAsia="Calibri" w:hAnsi="Garamond" w:cs="Times New Roman"/>
                <w:b/>
                <w:bCs/>
                <w:sz w:val="22"/>
                <w:lang w:val="en-GB"/>
              </w:rPr>
              <w:t>n</w:t>
            </w:r>
          </w:p>
        </w:tc>
      </w:tr>
      <w:tr w:rsidR="00FA218B" w:rsidRPr="001E7605" w14:paraId="0B3C9A1B" w14:textId="77777777" w:rsidTr="00BA568D">
        <w:tc>
          <w:tcPr>
            <w:tcW w:w="2689" w:type="dxa"/>
            <w:tcBorders>
              <w:top w:val="double" w:sz="4" w:space="0" w:color="auto"/>
              <w:left w:val="single" w:sz="4" w:space="0" w:color="000000" w:themeColor="text1"/>
              <w:bottom w:val="nil"/>
              <w:right w:val="single" w:sz="4" w:space="0" w:color="000000" w:themeColor="text1"/>
            </w:tcBorders>
            <w:vAlign w:val="center"/>
          </w:tcPr>
          <w:p w14:paraId="2867FAB9"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w:t>
            </w:r>
          </w:p>
        </w:tc>
        <w:tc>
          <w:tcPr>
            <w:tcW w:w="3407" w:type="dxa"/>
            <w:tcBorders>
              <w:top w:val="double" w:sz="4" w:space="0" w:color="auto"/>
              <w:left w:val="single" w:sz="4" w:space="0" w:color="000000" w:themeColor="text1"/>
              <w:bottom w:val="nil"/>
              <w:right w:val="single" w:sz="4" w:space="0" w:color="000000" w:themeColor="text1"/>
            </w:tcBorders>
            <w:vAlign w:val="center"/>
          </w:tcPr>
          <w:p w14:paraId="380A5829"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12.1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1.0</w:t>
            </w:r>
          </w:p>
        </w:tc>
        <w:tc>
          <w:tcPr>
            <w:tcW w:w="2551" w:type="dxa"/>
            <w:tcBorders>
              <w:top w:val="double" w:sz="4" w:space="0" w:color="auto"/>
              <w:left w:val="single" w:sz="4" w:space="0" w:color="000000" w:themeColor="text1"/>
              <w:bottom w:val="nil"/>
              <w:right w:val="single" w:sz="4" w:space="0" w:color="000000" w:themeColor="text1"/>
            </w:tcBorders>
          </w:tcPr>
          <w:p w14:paraId="7FE4E546"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11</w:t>
            </w:r>
          </w:p>
        </w:tc>
      </w:tr>
      <w:tr w:rsidR="00FA218B" w:rsidRPr="001E7605" w14:paraId="7787DC0D" w14:textId="77777777" w:rsidTr="000C26EB">
        <w:tc>
          <w:tcPr>
            <w:tcW w:w="2689" w:type="dxa"/>
            <w:tcBorders>
              <w:top w:val="nil"/>
              <w:left w:val="single" w:sz="4" w:space="0" w:color="000000" w:themeColor="text1"/>
              <w:bottom w:val="nil"/>
              <w:right w:val="single" w:sz="4" w:space="0" w:color="000000" w:themeColor="text1"/>
            </w:tcBorders>
            <w:vAlign w:val="center"/>
          </w:tcPr>
          <w:p w14:paraId="2EF0B209"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 + Lgi3</w:t>
            </w:r>
          </w:p>
        </w:tc>
        <w:tc>
          <w:tcPr>
            <w:tcW w:w="3407" w:type="dxa"/>
            <w:tcBorders>
              <w:top w:val="nil"/>
              <w:left w:val="single" w:sz="4" w:space="0" w:color="000000" w:themeColor="text1"/>
              <w:bottom w:val="nil"/>
              <w:right w:val="single" w:sz="4" w:space="0" w:color="000000" w:themeColor="text1"/>
            </w:tcBorders>
            <w:vAlign w:val="center"/>
          </w:tcPr>
          <w:p w14:paraId="62EACDE5"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12.3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1.1</w:t>
            </w:r>
          </w:p>
        </w:tc>
        <w:tc>
          <w:tcPr>
            <w:tcW w:w="2551" w:type="dxa"/>
            <w:tcBorders>
              <w:top w:val="nil"/>
              <w:left w:val="single" w:sz="4" w:space="0" w:color="000000" w:themeColor="text1"/>
              <w:bottom w:val="nil"/>
              <w:right w:val="single" w:sz="4" w:space="0" w:color="000000" w:themeColor="text1"/>
            </w:tcBorders>
          </w:tcPr>
          <w:p w14:paraId="64E9C718"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11</w:t>
            </w:r>
          </w:p>
        </w:tc>
      </w:tr>
      <w:tr w:rsidR="00FA218B" w:rsidRPr="001E7605" w14:paraId="2CC76A84" w14:textId="77777777" w:rsidTr="000C26EB">
        <w:tc>
          <w:tcPr>
            <w:tcW w:w="2689" w:type="dxa"/>
            <w:tcBorders>
              <w:top w:val="nil"/>
              <w:left w:val="single" w:sz="4" w:space="0" w:color="000000" w:themeColor="text1"/>
              <w:bottom w:val="single" w:sz="4" w:space="0" w:color="000000" w:themeColor="text1"/>
              <w:right w:val="single" w:sz="4" w:space="0" w:color="000000" w:themeColor="text1"/>
            </w:tcBorders>
            <w:vAlign w:val="center"/>
          </w:tcPr>
          <w:p w14:paraId="3211D3FD"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 + Lgi4</w:t>
            </w:r>
          </w:p>
        </w:tc>
        <w:tc>
          <w:tcPr>
            <w:tcW w:w="3407" w:type="dxa"/>
            <w:tcBorders>
              <w:top w:val="nil"/>
              <w:left w:val="single" w:sz="4" w:space="0" w:color="000000" w:themeColor="text1"/>
              <w:bottom w:val="single" w:sz="4" w:space="0" w:color="000000" w:themeColor="text1"/>
              <w:right w:val="single" w:sz="4" w:space="0" w:color="000000" w:themeColor="text1"/>
            </w:tcBorders>
            <w:vAlign w:val="center"/>
          </w:tcPr>
          <w:p w14:paraId="70FE4EB9"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14.5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1.3</w:t>
            </w:r>
          </w:p>
        </w:tc>
        <w:tc>
          <w:tcPr>
            <w:tcW w:w="2551" w:type="dxa"/>
            <w:tcBorders>
              <w:top w:val="nil"/>
              <w:left w:val="single" w:sz="4" w:space="0" w:color="000000" w:themeColor="text1"/>
              <w:bottom w:val="single" w:sz="4" w:space="0" w:color="000000" w:themeColor="text1"/>
              <w:right w:val="single" w:sz="4" w:space="0" w:color="000000" w:themeColor="text1"/>
            </w:tcBorders>
          </w:tcPr>
          <w:p w14:paraId="671F09CA"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14</w:t>
            </w:r>
          </w:p>
        </w:tc>
      </w:tr>
      <w:tr w:rsidR="00FA218B" w:rsidRPr="001E7605" w14:paraId="10D99B1A" w14:textId="77777777" w:rsidTr="000C26EB">
        <w:tc>
          <w:tcPr>
            <w:tcW w:w="2689" w:type="dxa"/>
            <w:tcBorders>
              <w:top w:val="single" w:sz="4" w:space="0" w:color="000000" w:themeColor="text1"/>
              <w:left w:val="single" w:sz="4" w:space="0" w:color="000000" w:themeColor="text1"/>
              <w:bottom w:val="nil"/>
              <w:right w:val="single" w:sz="4" w:space="0" w:color="000000" w:themeColor="text1"/>
            </w:tcBorders>
            <w:vAlign w:val="center"/>
          </w:tcPr>
          <w:p w14:paraId="794E2583"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β2.1</w:t>
            </w:r>
          </w:p>
        </w:tc>
        <w:tc>
          <w:tcPr>
            <w:tcW w:w="3407" w:type="dxa"/>
            <w:tcBorders>
              <w:top w:val="single" w:sz="4" w:space="0" w:color="000000" w:themeColor="text1"/>
              <w:left w:val="single" w:sz="4" w:space="0" w:color="000000" w:themeColor="text1"/>
              <w:bottom w:val="nil"/>
              <w:right w:val="single" w:sz="4" w:space="0" w:color="000000" w:themeColor="text1"/>
            </w:tcBorders>
            <w:vAlign w:val="center"/>
          </w:tcPr>
          <w:p w14:paraId="46021172"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14.9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1.2</w:t>
            </w:r>
          </w:p>
        </w:tc>
        <w:tc>
          <w:tcPr>
            <w:tcW w:w="2551" w:type="dxa"/>
            <w:tcBorders>
              <w:top w:val="single" w:sz="4" w:space="0" w:color="000000" w:themeColor="text1"/>
              <w:left w:val="single" w:sz="4" w:space="0" w:color="000000" w:themeColor="text1"/>
              <w:bottom w:val="nil"/>
              <w:right w:val="single" w:sz="4" w:space="0" w:color="000000" w:themeColor="text1"/>
            </w:tcBorders>
          </w:tcPr>
          <w:p w14:paraId="586409D2"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10</w:t>
            </w:r>
          </w:p>
        </w:tc>
      </w:tr>
      <w:tr w:rsidR="00FA218B" w:rsidRPr="001E7605" w14:paraId="59B38E45" w14:textId="77777777" w:rsidTr="000C26EB">
        <w:tc>
          <w:tcPr>
            <w:tcW w:w="2689" w:type="dxa"/>
            <w:tcBorders>
              <w:top w:val="nil"/>
              <w:left w:val="single" w:sz="4" w:space="0" w:color="000000" w:themeColor="text1"/>
              <w:bottom w:val="nil"/>
              <w:right w:val="single" w:sz="4" w:space="0" w:color="000000" w:themeColor="text1"/>
            </w:tcBorders>
            <w:vAlign w:val="center"/>
          </w:tcPr>
          <w:p w14:paraId="071FF7CF"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β2.1 + Lgi3</w:t>
            </w:r>
          </w:p>
        </w:tc>
        <w:tc>
          <w:tcPr>
            <w:tcW w:w="3407" w:type="dxa"/>
            <w:tcBorders>
              <w:top w:val="nil"/>
              <w:left w:val="single" w:sz="4" w:space="0" w:color="000000" w:themeColor="text1"/>
              <w:bottom w:val="nil"/>
              <w:right w:val="single" w:sz="4" w:space="0" w:color="000000" w:themeColor="text1"/>
            </w:tcBorders>
            <w:vAlign w:val="center"/>
          </w:tcPr>
          <w:p w14:paraId="70727EFD"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7.8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1.2 ***</w:t>
            </w:r>
          </w:p>
        </w:tc>
        <w:tc>
          <w:tcPr>
            <w:tcW w:w="2551" w:type="dxa"/>
            <w:tcBorders>
              <w:top w:val="nil"/>
              <w:left w:val="single" w:sz="4" w:space="0" w:color="000000" w:themeColor="text1"/>
              <w:bottom w:val="nil"/>
              <w:right w:val="single" w:sz="4" w:space="0" w:color="000000" w:themeColor="text1"/>
            </w:tcBorders>
          </w:tcPr>
          <w:p w14:paraId="737E91FD"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10</w:t>
            </w:r>
          </w:p>
        </w:tc>
      </w:tr>
      <w:tr w:rsidR="00FA218B" w:rsidRPr="001E7605" w14:paraId="3D086309" w14:textId="77777777" w:rsidTr="000C26EB">
        <w:tc>
          <w:tcPr>
            <w:tcW w:w="2689" w:type="dxa"/>
            <w:tcBorders>
              <w:top w:val="nil"/>
              <w:left w:val="single" w:sz="4" w:space="0" w:color="000000" w:themeColor="text1"/>
              <w:bottom w:val="single" w:sz="4" w:space="0" w:color="000000" w:themeColor="text1"/>
              <w:right w:val="single" w:sz="4" w:space="0" w:color="000000" w:themeColor="text1"/>
            </w:tcBorders>
            <w:vAlign w:val="center"/>
          </w:tcPr>
          <w:p w14:paraId="5865D48B"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β2.1 + Lgi4</w:t>
            </w:r>
          </w:p>
        </w:tc>
        <w:tc>
          <w:tcPr>
            <w:tcW w:w="3407" w:type="dxa"/>
            <w:tcBorders>
              <w:top w:val="nil"/>
              <w:left w:val="single" w:sz="4" w:space="0" w:color="000000" w:themeColor="text1"/>
              <w:bottom w:val="single" w:sz="4" w:space="0" w:color="000000" w:themeColor="text1"/>
              <w:right w:val="single" w:sz="4" w:space="0" w:color="000000" w:themeColor="text1"/>
            </w:tcBorders>
            <w:vAlign w:val="center"/>
          </w:tcPr>
          <w:p w14:paraId="5597AC6A"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8.6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0.5 ***</w:t>
            </w:r>
          </w:p>
        </w:tc>
        <w:tc>
          <w:tcPr>
            <w:tcW w:w="2551" w:type="dxa"/>
            <w:tcBorders>
              <w:top w:val="nil"/>
              <w:left w:val="single" w:sz="4" w:space="0" w:color="000000" w:themeColor="text1"/>
              <w:bottom w:val="single" w:sz="4" w:space="0" w:color="000000" w:themeColor="text1"/>
              <w:right w:val="single" w:sz="4" w:space="0" w:color="000000" w:themeColor="text1"/>
            </w:tcBorders>
          </w:tcPr>
          <w:p w14:paraId="36BE4922"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9</w:t>
            </w:r>
          </w:p>
        </w:tc>
      </w:tr>
      <w:tr w:rsidR="00FA218B" w:rsidRPr="001E7605" w14:paraId="7BD00670" w14:textId="77777777" w:rsidTr="000C26EB">
        <w:tc>
          <w:tcPr>
            <w:tcW w:w="2689" w:type="dxa"/>
            <w:tcBorders>
              <w:top w:val="single" w:sz="4" w:space="0" w:color="000000" w:themeColor="text1"/>
              <w:left w:val="single" w:sz="4" w:space="0" w:color="000000" w:themeColor="text1"/>
              <w:bottom w:val="single" w:sz="4" w:space="0" w:color="FFFFFF"/>
              <w:right w:val="single" w:sz="4" w:space="0" w:color="000000" w:themeColor="text1"/>
            </w:tcBorders>
            <w:vAlign w:val="center"/>
          </w:tcPr>
          <w:p w14:paraId="05CC2744"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β1.3</w:t>
            </w:r>
          </w:p>
        </w:tc>
        <w:tc>
          <w:tcPr>
            <w:tcW w:w="3407" w:type="dxa"/>
            <w:tcBorders>
              <w:top w:val="single" w:sz="4" w:space="0" w:color="000000" w:themeColor="text1"/>
              <w:left w:val="single" w:sz="4" w:space="0" w:color="000000" w:themeColor="text1"/>
              <w:bottom w:val="single" w:sz="4" w:space="0" w:color="FFFFFF"/>
              <w:right w:val="single" w:sz="4" w:space="0" w:color="000000" w:themeColor="text1"/>
            </w:tcBorders>
            <w:vAlign w:val="center"/>
          </w:tcPr>
          <w:p w14:paraId="040B0AC3"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66.6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2.0</w:t>
            </w:r>
          </w:p>
        </w:tc>
        <w:tc>
          <w:tcPr>
            <w:tcW w:w="2551" w:type="dxa"/>
            <w:tcBorders>
              <w:top w:val="single" w:sz="4" w:space="0" w:color="000000" w:themeColor="text1"/>
              <w:left w:val="single" w:sz="4" w:space="0" w:color="000000" w:themeColor="text1"/>
              <w:bottom w:val="single" w:sz="4" w:space="0" w:color="FFFFFF"/>
              <w:right w:val="single" w:sz="4" w:space="0" w:color="000000" w:themeColor="text1"/>
            </w:tcBorders>
          </w:tcPr>
          <w:p w14:paraId="36A89104"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18</w:t>
            </w:r>
          </w:p>
        </w:tc>
      </w:tr>
      <w:tr w:rsidR="00FA218B" w:rsidRPr="001E7605" w14:paraId="28A3E463" w14:textId="77777777" w:rsidTr="000C26EB">
        <w:tc>
          <w:tcPr>
            <w:tcW w:w="2689" w:type="dxa"/>
            <w:tcBorders>
              <w:top w:val="single" w:sz="4" w:space="0" w:color="FFFFFF"/>
              <w:left w:val="single" w:sz="4" w:space="0" w:color="000000" w:themeColor="text1"/>
              <w:bottom w:val="single" w:sz="4" w:space="0" w:color="FFFFFF"/>
              <w:right w:val="single" w:sz="4" w:space="0" w:color="000000" w:themeColor="text1"/>
            </w:tcBorders>
            <w:vAlign w:val="center"/>
          </w:tcPr>
          <w:p w14:paraId="7693FB88"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 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β1.3 + Lgi3</w:t>
            </w:r>
          </w:p>
        </w:tc>
        <w:tc>
          <w:tcPr>
            <w:tcW w:w="3407" w:type="dxa"/>
            <w:tcBorders>
              <w:top w:val="single" w:sz="4" w:space="0" w:color="FFFFFF"/>
              <w:left w:val="single" w:sz="4" w:space="0" w:color="000000" w:themeColor="text1"/>
              <w:bottom w:val="single" w:sz="4" w:space="0" w:color="FFFFFF"/>
              <w:right w:val="single" w:sz="4" w:space="0" w:color="000000" w:themeColor="text1"/>
            </w:tcBorders>
            <w:vAlign w:val="center"/>
          </w:tcPr>
          <w:p w14:paraId="2625928F"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33.0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2.7 ***</w:t>
            </w:r>
          </w:p>
        </w:tc>
        <w:tc>
          <w:tcPr>
            <w:tcW w:w="2551" w:type="dxa"/>
            <w:tcBorders>
              <w:top w:val="single" w:sz="4" w:space="0" w:color="FFFFFF"/>
              <w:left w:val="single" w:sz="4" w:space="0" w:color="000000" w:themeColor="text1"/>
              <w:bottom w:val="single" w:sz="4" w:space="0" w:color="FFFFFF"/>
              <w:right w:val="single" w:sz="4" w:space="0" w:color="000000" w:themeColor="text1"/>
            </w:tcBorders>
          </w:tcPr>
          <w:p w14:paraId="0A743F0F"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23</w:t>
            </w:r>
          </w:p>
        </w:tc>
      </w:tr>
      <w:tr w:rsidR="00FA218B" w:rsidRPr="001E7605" w14:paraId="248AAE67" w14:textId="77777777" w:rsidTr="000C26EB">
        <w:tc>
          <w:tcPr>
            <w:tcW w:w="2689" w:type="dxa"/>
            <w:tcBorders>
              <w:top w:val="single" w:sz="4" w:space="0" w:color="FFFFFF"/>
              <w:left w:val="single" w:sz="4" w:space="0" w:color="000000" w:themeColor="text1"/>
              <w:bottom w:val="single" w:sz="4" w:space="0" w:color="000000" w:themeColor="text1"/>
              <w:right w:val="single" w:sz="4" w:space="0" w:color="000000" w:themeColor="text1"/>
            </w:tcBorders>
            <w:vAlign w:val="center"/>
          </w:tcPr>
          <w:p w14:paraId="327D7DD0"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 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β1.3 + Lgi4</w:t>
            </w:r>
          </w:p>
        </w:tc>
        <w:tc>
          <w:tcPr>
            <w:tcW w:w="3407" w:type="dxa"/>
            <w:tcBorders>
              <w:top w:val="single" w:sz="4" w:space="0" w:color="FFFFFF"/>
              <w:left w:val="single" w:sz="4" w:space="0" w:color="000000" w:themeColor="text1"/>
              <w:bottom w:val="single" w:sz="4" w:space="0" w:color="000000" w:themeColor="text1"/>
              <w:right w:val="single" w:sz="4" w:space="0" w:color="000000" w:themeColor="text1"/>
            </w:tcBorders>
            <w:vAlign w:val="center"/>
          </w:tcPr>
          <w:p w14:paraId="135051DB"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42.4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3.7 ***</w:t>
            </w:r>
          </w:p>
        </w:tc>
        <w:tc>
          <w:tcPr>
            <w:tcW w:w="2551" w:type="dxa"/>
            <w:tcBorders>
              <w:top w:val="single" w:sz="4" w:space="0" w:color="FFFFFF"/>
              <w:left w:val="single" w:sz="4" w:space="0" w:color="000000" w:themeColor="text1"/>
              <w:bottom w:val="single" w:sz="4" w:space="0" w:color="000000" w:themeColor="text1"/>
              <w:right w:val="single" w:sz="4" w:space="0" w:color="000000" w:themeColor="text1"/>
            </w:tcBorders>
          </w:tcPr>
          <w:p w14:paraId="0B61085E"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16</w:t>
            </w:r>
          </w:p>
        </w:tc>
      </w:tr>
      <w:tr w:rsidR="00FA218B" w:rsidRPr="001E7605" w14:paraId="2A084533" w14:textId="77777777" w:rsidTr="000C26EB">
        <w:tc>
          <w:tcPr>
            <w:tcW w:w="2689" w:type="dxa"/>
            <w:tcBorders>
              <w:top w:val="single" w:sz="4" w:space="0" w:color="000000" w:themeColor="text1"/>
              <w:left w:val="single" w:sz="4" w:space="0" w:color="000000" w:themeColor="text1"/>
              <w:bottom w:val="single" w:sz="4" w:space="0" w:color="FFFFFF"/>
              <w:right w:val="single" w:sz="4" w:space="0" w:color="000000" w:themeColor="text1"/>
            </w:tcBorders>
            <w:vAlign w:val="center"/>
          </w:tcPr>
          <w:p w14:paraId="77517E5B"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β1.2</w:t>
            </w:r>
          </w:p>
        </w:tc>
        <w:tc>
          <w:tcPr>
            <w:tcW w:w="3407" w:type="dxa"/>
            <w:tcBorders>
              <w:top w:val="single" w:sz="4" w:space="0" w:color="000000" w:themeColor="text1"/>
              <w:left w:val="single" w:sz="4" w:space="0" w:color="000000" w:themeColor="text1"/>
              <w:bottom w:val="single" w:sz="4" w:space="0" w:color="FFFFFF"/>
              <w:right w:val="single" w:sz="4" w:space="0" w:color="000000" w:themeColor="text1"/>
            </w:tcBorders>
            <w:vAlign w:val="center"/>
          </w:tcPr>
          <w:p w14:paraId="0C695A34"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55.7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1.9</w:t>
            </w:r>
          </w:p>
        </w:tc>
        <w:tc>
          <w:tcPr>
            <w:tcW w:w="2551" w:type="dxa"/>
            <w:tcBorders>
              <w:top w:val="single" w:sz="4" w:space="0" w:color="000000" w:themeColor="text1"/>
              <w:left w:val="single" w:sz="4" w:space="0" w:color="000000" w:themeColor="text1"/>
              <w:bottom w:val="single" w:sz="4" w:space="0" w:color="FFFFFF"/>
              <w:right w:val="single" w:sz="4" w:space="0" w:color="000000" w:themeColor="text1"/>
            </w:tcBorders>
          </w:tcPr>
          <w:p w14:paraId="40B63B28"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14</w:t>
            </w:r>
          </w:p>
        </w:tc>
      </w:tr>
      <w:tr w:rsidR="00FA218B" w:rsidRPr="001E7605" w14:paraId="08F5668F" w14:textId="77777777" w:rsidTr="000C26EB">
        <w:tc>
          <w:tcPr>
            <w:tcW w:w="2689" w:type="dxa"/>
            <w:tcBorders>
              <w:top w:val="single" w:sz="4" w:space="0" w:color="FFFFFF"/>
              <w:left w:val="single" w:sz="4" w:space="0" w:color="000000" w:themeColor="text1"/>
              <w:bottom w:val="single" w:sz="4" w:space="0" w:color="FFFFFF"/>
              <w:right w:val="single" w:sz="4" w:space="0" w:color="000000" w:themeColor="text1"/>
            </w:tcBorders>
            <w:vAlign w:val="center"/>
          </w:tcPr>
          <w:p w14:paraId="1A537CF0"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 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β1.2 + Lgi3</w:t>
            </w:r>
          </w:p>
        </w:tc>
        <w:tc>
          <w:tcPr>
            <w:tcW w:w="3407" w:type="dxa"/>
            <w:tcBorders>
              <w:top w:val="single" w:sz="4" w:space="0" w:color="FFFFFF"/>
              <w:left w:val="single" w:sz="4" w:space="0" w:color="000000" w:themeColor="text1"/>
              <w:bottom w:val="single" w:sz="4" w:space="0" w:color="FFFFFF"/>
              <w:right w:val="single" w:sz="4" w:space="0" w:color="000000" w:themeColor="text1"/>
            </w:tcBorders>
            <w:vAlign w:val="center"/>
          </w:tcPr>
          <w:p w14:paraId="0FECBAA3"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44.0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2.9 **</w:t>
            </w:r>
          </w:p>
        </w:tc>
        <w:tc>
          <w:tcPr>
            <w:tcW w:w="2551" w:type="dxa"/>
            <w:tcBorders>
              <w:top w:val="single" w:sz="4" w:space="0" w:color="FFFFFF"/>
              <w:left w:val="single" w:sz="4" w:space="0" w:color="000000" w:themeColor="text1"/>
              <w:bottom w:val="single" w:sz="4" w:space="0" w:color="FFFFFF"/>
              <w:right w:val="single" w:sz="4" w:space="0" w:color="000000" w:themeColor="text1"/>
            </w:tcBorders>
          </w:tcPr>
          <w:p w14:paraId="07C0C294"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12</w:t>
            </w:r>
          </w:p>
        </w:tc>
      </w:tr>
      <w:tr w:rsidR="00FA218B" w:rsidRPr="001E7605" w14:paraId="67F8C708" w14:textId="77777777" w:rsidTr="000C26EB">
        <w:tc>
          <w:tcPr>
            <w:tcW w:w="2689" w:type="dxa"/>
            <w:tcBorders>
              <w:top w:val="single" w:sz="4" w:space="0" w:color="FFFFFF"/>
              <w:left w:val="single" w:sz="4" w:space="0" w:color="000000" w:themeColor="text1"/>
              <w:bottom w:val="single" w:sz="4" w:space="0" w:color="000000" w:themeColor="text1"/>
              <w:right w:val="single" w:sz="4" w:space="0" w:color="000000" w:themeColor="text1"/>
            </w:tcBorders>
            <w:vAlign w:val="center"/>
          </w:tcPr>
          <w:p w14:paraId="496C37AB"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 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β1.2 + Lgi4</w:t>
            </w:r>
          </w:p>
        </w:tc>
        <w:tc>
          <w:tcPr>
            <w:tcW w:w="3407" w:type="dxa"/>
            <w:tcBorders>
              <w:top w:val="single" w:sz="4" w:space="0" w:color="FFFFFF"/>
              <w:left w:val="single" w:sz="4" w:space="0" w:color="000000" w:themeColor="text1"/>
              <w:bottom w:val="single" w:sz="4" w:space="0" w:color="000000" w:themeColor="text1"/>
              <w:right w:val="single" w:sz="4" w:space="0" w:color="000000" w:themeColor="text1"/>
            </w:tcBorders>
            <w:vAlign w:val="center"/>
          </w:tcPr>
          <w:p w14:paraId="57A06C0B"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42.6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2.9 ***</w:t>
            </w:r>
          </w:p>
        </w:tc>
        <w:tc>
          <w:tcPr>
            <w:tcW w:w="2551" w:type="dxa"/>
            <w:tcBorders>
              <w:top w:val="single" w:sz="4" w:space="0" w:color="FFFFFF"/>
              <w:left w:val="single" w:sz="4" w:space="0" w:color="000000" w:themeColor="text1"/>
              <w:bottom w:val="single" w:sz="4" w:space="0" w:color="000000" w:themeColor="text1"/>
              <w:right w:val="single" w:sz="4" w:space="0" w:color="000000" w:themeColor="text1"/>
            </w:tcBorders>
          </w:tcPr>
          <w:p w14:paraId="405DC26E"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13</w:t>
            </w:r>
          </w:p>
        </w:tc>
      </w:tr>
      <w:tr w:rsidR="00FA218B" w:rsidRPr="00FF720A" w14:paraId="4E5EA89F" w14:textId="77777777" w:rsidTr="000C26EB">
        <w:tc>
          <w:tcPr>
            <w:tcW w:w="86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F86C46"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w:t>
            </w:r>
            <w:r w:rsidRPr="001E7605">
              <w:rPr>
                <w:rFonts w:ascii="Garamond" w:eastAsia="Calibri" w:hAnsi="Garamond" w:cs="Times New Roman"/>
                <w:i/>
                <w:iCs/>
                <w:sz w:val="22"/>
                <w:lang w:val="en-GB"/>
              </w:rPr>
              <w:t xml:space="preserve">p </w:t>
            </w:r>
            <w:r w:rsidRPr="001E7605">
              <w:rPr>
                <w:rFonts w:ascii="Garamond" w:eastAsia="Calibri" w:hAnsi="Garamond" w:cs="Times New Roman"/>
                <w:sz w:val="22"/>
                <w:lang w:val="en-GB"/>
              </w:rPr>
              <w:t>&lt; 0.01, ***</w:t>
            </w:r>
            <w:r w:rsidRPr="001E7605">
              <w:rPr>
                <w:rFonts w:ascii="Garamond" w:eastAsia="Calibri" w:hAnsi="Garamond" w:cs="Times New Roman"/>
                <w:i/>
                <w:iCs/>
                <w:sz w:val="22"/>
                <w:lang w:val="en-GB"/>
              </w:rPr>
              <w:t xml:space="preserve">p </w:t>
            </w:r>
            <w:r w:rsidRPr="001E7605">
              <w:rPr>
                <w:rFonts w:ascii="Garamond" w:eastAsia="Calibri" w:hAnsi="Garamond" w:cs="Times New Roman"/>
                <w:sz w:val="22"/>
                <w:lang w:val="en-GB"/>
              </w:rPr>
              <w:t>&lt; 0.001, unpaired Student’s t-test vs. its corresponding control</w:t>
            </w:r>
          </w:p>
        </w:tc>
      </w:tr>
    </w:tbl>
    <w:p w14:paraId="2077CAE2" w14:textId="77777777" w:rsidR="00FA218B" w:rsidRPr="001E7605" w:rsidRDefault="00FA218B" w:rsidP="00FA218B">
      <w:pPr>
        <w:spacing w:after="240" w:line="276" w:lineRule="auto"/>
        <w:contextualSpacing/>
        <w:jc w:val="both"/>
        <w:rPr>
          <w:rFonts w:ascii="Garamond" w:eastAsia="Calibri" w:hAnsi="Garamond" w:cs="Times New Roman"/>
          <w:lang w:val="en-GB"/>
        </w:rPr>
      </w:pPr>
    </w:p>
    <w:p w14:paraId="2EAF01E4" w14:textId="5E4F3085" w:rsidR="00FA218B" w:rsidRPr="001E7605" w:rsidRDefault="00FA218B" w:rsidP="00FA218B">
      <w:pPr>
        <w:keepNext/>
        <w:keepLines/>
        <w:spacing w:before="240"/>
        <w:ind w:right="1093"/>
        <w:outlineLvl w:val="0"/>
        <w:rPr>
          <w:rFonts w:ascii="Garamond" w:eastAsia="Times New Roman" w:hAnsi="Garamond" w:cs="Times New Roman (Cuerpo en alfa"/>
          <w:iCs/>
          <w:color w:val="000000"/>
          <w:sz w:val="21"/>
          <w:szCs w:val="22"/>
          <w:lang w:val="en-GB"/>
        </w:rPr>
      </w:pPr>
      <w:bookmarkStart w:id="41" w:name="_Toc145605328"/>
      <w:r w:rsidRPr="001E7605">
        <w:rPr>
          <w:rFonts w:ascii="Garamond" w:eastAsia="Times New Roman" w:hAnsi="Garamond" w:cs="Times New Roman (Cuerpo en alfa"/>
          <w:b/>
          <w:bCs/>
          <w:iCs/>
          <w:color w:val="000000"/>
          <w:sz w:val="21"/>
          <w:szCs w:val="22"/>
          <w:lang w:val="en-GB"/>
        </w:rPr>
        <w:t>Table S2</w:t>
      </w:r>
      <w:r w:rsidRPr="001E7605">
        <w:rPr>
          <w:rFonts w:ascii="Garamond" w:eastAsia="Times New Roman" w:hAnsi="Garamond" w:cs="Times New Roman (Cuerpo en alfa"/>
          <w:iCs/>
          <w:color w:val="000000"/>
          <w:sz w:val="21"/>
          <w:szCs w:val="22"/>
          <w:lang w:val="en-GB"/>
        </w:rPr>
        <w:t>. Voltage dependence of activation of K</w:t>
      </w:r>
      <w:r w:rsidRPr="001E7605">
        <w:rPr>
          <w:rFonts w:ascii="Garamond" w:eastAsia="Times New Roman" w:hAnsi="Garamond" w:cs="Times New Roman (Cuerpo en alfa"/>
          <w:iCs/>
          <w:color w:val="000000"/>
          <w:sz w:val="21"/>
          <w:szCs w:val="22"/>
          <w:vertAlign w:val="subscript"/>
          <w:lang w:val="en-GB"/>
        </w:rPr>
        <w:t>V</w:t>
      </w:r>
      <w:r w:rsidRPr="001E7605">
        <w:rPr>
          <w:rFonts w:ascii="Garamond" w:eastAsia="Times New Roman" w:hAnsi="Garamond" w:cs="Times New Roman (Cuerpo en alfa"/>
          <w:iCs/>
          <w:color w:val="000000"/>
          <w:sz w:val="21"/>
          <w:szCs w:val="22"/>
          <w:lang w:val="en-GB"/>
        </w:rPr>
        <w:t>1.5 in the absence and the presence of K</w:t>
      </w:r>
      <w:r w:rsidRPr="001E7605">
        <w:rPr>
          <w:rFonts w:ascii="Garamond" w:eastAsia="Times New Roman" w:hAnsi="Garamond" w:cs="Times New Roman (Cuerpo en alfa"/>
          <w:iCs/>
          <w:color w:val="000000"/>
          <w:sz w:val="21"/>
          <w:szCs w:val="22"/>
          <w:vertAlign w:val="subscript"/>
          <w:lang w:val="en-GB"/>
        </w:rPr>
        <w:t>V</w:t>
      </w:r>
      <w:r w:rsidRPr="001E7605">
        <w:rPr>
          <w:rFonts w:ascii="Garamond" w:eastAsia="Times New Roman" w:hAnsi="Garamond" w:cs="Times New Roman (Cuerpo en alfa"/>
          <w:iCs/>
          <w:color w:val="000000"/>
          <w:sz w:val="21"/>
          <w:szCs w:val="22"/>
        </w:rPr>
        <w:t>β</w:t>
      </w:r>
      <w:r w:rsidRPr="001E7605">
        <w:rPr>
          <w:rFonts w:ascii="Garamond" w:eastAsia="Times New Roman" w:hAnsi="Garamond" w:cs="Times New Roman (Cuerpo en alfa"/>
          <w:iCs/>
          <w:color w:val="000000"/>
          <w:sz w:val="21"/>
          <w:szCs w:val="22"/>
          <w:lang w:val="en-GB"/>
        </w:rPr>
        <w:t xml:space="preserve"> subunits (K</w:t>
      </w:r>
      <w:r w:rsidRPr="001E7605">
        <w:rPr>
          <w:rFonts w:ascii="Garamond" w:eastAsia="Times New Roman" w:hAnsi="Garamond" w:cs="Times New Roman (Cuerpo en alfa"/>
          <w:iCs/>
          <w:color w:val="000000"/>
          <w:sz w:val="21"/>
          <w:szCs w:val="22"/>
          <w:vertAlign w:val="subscript"/>
          <w:lang w:val="en-GB"/>
        </w:rPr>
        <w:t>V</w:t>
      </w:r>
      <w:r w:rsidRPr="001E7605">
        <w:rPr>
          <w:rFonts w:ascii="Garamond" w:eastAsia="Times New Roman" w:hAnsi="Garamond" w:cs="Times New Roman (Cuerpo en alfa"/>
          <w:iCs/>
          <w:color w:val="000000"/>
          <w:sz w:val="21"/>
          <w:szCs w:val="22"/>
        </w:rPr>
        <w:t>β</w:t>
      </w:r>
      <w:r w:rsidRPr="001E7605">
        <w:rPr>
          <w:rFonts w:ascii="Garamond" w:eastAsia="Times New Roman" w:hAnsi="Garamond" w:cs="Times New Roman (Cuerpo en alfa"/>
          <w:iCs/>
          <w:color w:val="000000"/>
          <w:sz w:val="21"/>
          <w:szCs w:val="22"/>
          <w:lang w:val="en-GB"/>
        </w:rPr>
        <w:t>2.1, K</w:t>
      </w:r>
      <w:r w:rsidRPr="001E7605">
        <w:rPr>
          <w:rFonts w:ascii="Garamond" w:eastAsia="Times New Roman" w:hAnsi="Garamond" w:cs="Times New Roman (Cuerpo en alfa"/>
          <w:iCs/>
          <w:color w:val="000000"/>
          <w:sz w:val="21"/>
          <w:szCs w:val="22"/>
          <w:vertAlign w:val="subscript"/>
          <w:lang w:val="en-GB"/>
        </w:rPr>
        <w:t>V</w:t>
      </w:r>
      <w:r w:rsidRPr="001E7605">
        <w:rPr>
          <w:rFonts w:ascii="Garamond" w:eastAsia="Times New Roman" w:hAnsi="Garamond" w:cs="Times New Roman (Cuerpo en alfa"/>
          <w:iCs/>
          <w:color w:val="000000"/>
          <w:sz w:val="21"/>
          <w:szCs w:val="22"/>
        </w:rPr>
        <w:t>β</w:t>
      </w:r>
      <w:r w:rsidRPr="001E7605">
        <w:rPr>
          <w:rFonts w:ascii="Garamond" w:eastAsia="Times New Roman" w:hAnsi="Garamond" w:cs="Times New Roman (Cuerpo en alfa"/>
          <w:iCs/>
          <w:color w:val="000000"/>
          <w:sz w:val="21"/>
          <w:szCs w:val="22"/>
          <w:lang w:val="en-GB"/>
        </w:rPr>
        <w:t>1.3 or K</w:t>
      </w:r>
      <w:r w:rsidRPr="001E7605">
        <w:rPr>
          <w:rFonts w:ascii="Garamond" w:eastAsia="Times New Roman" w:hAnsi="Garamond" w:cs="Times New Roman (Cuerpo en alfa"/>
          <w:iCs/>
          <w:color w:val="000000"/>
          <w:sz w:val="21"/>
          <w:szCs w:val="22"/>
          <w:vertAlign w:val="subscript"/>
          <w:lang w:val="en-GB"/>
        </w:rPr>
        <w:t>V</w:t>
      </w:r>
      <w:r w:rsidRPr="001E7605">
        <w:rPr>
          <w:rFonts w:ascii="Garamond" w:eastAsia="Times New Roman" w:hAnsi="Garamond" w:cs="Times New Roman (Cuerpo en alfa"/>
          <w:iCs/>
          <w:color w:val="000000"/>
          <w:sz w:val="21"/>
          <w:szCs w:val="22"/>
        </w:rPr>
        <w:t>β</w:t>
      </w:r>
      <w:r w:rsidRPr="001E7605">
        <w:rPr>
          <w:rFonts w:ascii="Garamond" w:eastAsia="Times New Roman" w:hAnsi="Garamond" w:cs="Times New Roman (Cuerpo en alfa"/>
          <w:iCs/>
          <w:color w:val="000000"/>
          <w:sz w:val="21"/>
          <w:szCs w:val="22"/>
          <w:lang w:val="en-GB"/>
        </w:rPr>
        <w:t xml:space="preserve">1.2) and </w:t>
      </w:r>
      <w:proofErr w:type="spellStart"/>
      <w:r w:rsidRPr="001E7605">
        <w:rPr>
          <w:rFonts w:ascii="Garamond" w:eastAsia="Times New Roman" w:hAnsi="Garamond" w:cs="Times New Roman (Cuerpo en alfa"/>
          <w:iCs/>
          <w:color w:val="000000"/>
          <w:sz w:val="21"/>
          <w:szCs w:val="22"/>
          <w:lang w:val="en-GB"/>
        </w:rPr>
        <w:t>Lgis</w:t>
      </w:r>
      <w:proofErr w:type="spellEnd"/>
      <w:r w:rsidRPr="001E7605">
        <w:rPr>
          <w:rFonts w:ascii="Garamond" w:eastAsia="Times New Roman" w:hAnsi="Garamond" w:cs="Times New Roman (Cuerpo en alfa"/>
          <w:iCs/>
          <w:color w:val="000000"/>
          <w:sz w:val="21"/>
          <w:szCs w:val="22"/>
          <w:lang w:val="en-GB"/>
        </w:rPr>
        <w:t xml:space="preserve"> (Lgi3 or Lgi4).</w:t>
      </w:r>
      <w:bookmarkEnd w:id="41"/>
    </w:p>
    <w:p w14:paraId="1F0541E6" w14:textId="77777777" w:rsidR="00047A6F" w:rsidRPr="001E7605" w:rsidRDefault="00047A6F" w:rsidP="00FA218B">
      <w:pPr>
        <w:keepNext/>
        <w:keepLines/>
        <w:spacing w:before="240"/>
        <w:ind w:right="1093"/>
        <w:outlineLvl w:val="0"/>
        <w:rPr>
          <w:rFonts w:ascii="Garamond" w:eastAsia="Times New Roman" w:hAnsi="Garamond" w:cs="Times New Roman (Cuerpo en alfa"/>
          <w:iCs/>
          <w:color w:val="000000"/>
          <w:sz w:val="21"/>
          <w:szCs w:val="22"/>
          <w:lang w:val="en-GB"/>
        </w:rPr>
      </w:pPr>
    </w:p>
    <w:tbl>
      <w:tblPr>
        <w:tblStyle w:val="TableGrid1"/>
        <w:tblW w:w="8635" w:type="dxa"/>
        <w:tblLook w:val="04A0" w:firstRow="1" w:lastRow="0" w:firstColumn="1" w:lastColumn="0" w:noHBand="0" w:noVBand="1"/>
      </w:tblPr>
      <w:tblGrid>
        <w:gridCol w:w="2547"/>
        <w:gridCol w:w="2131"/>
        <w:gridCol w:w="1985"/>
        <w:gridCol w:w="1972"/>
      </w:tblGrid>
      <w:tr w:rsidR="00FA218B" w:rsidRPr="001E7605" w14:paraId="37181027" w14:textId="77777777" w:rsidTr="00047A6F">
        <w:tc>
          <w:tcPr>
            <w:tcW w:w="2547" w:type="dxa"/>
            <w:tcBorders>
              <w:top w:val="nil"/>
              <w:left w:val="nil"/>
              <w:bottom w:val="double" w:sz="4" w:space="0" w:color="auto"/>
              <w:right w:val="single" w:sz="4" w:space="0" w:color="000000" w:themeColor="text1"/>
            </w:tcBorders>
            <w:vAlign w:val="center"/>
          </w:tcPr>
          <w:p w14:paraId="0AE84DBD" w14:textId="77777777" w:rsidR="00FA218B" w:rsidRPr="001E7605" w:rsidRDefault="00FA218B" w:rsidP="00FA218B">
            <w:pPr>
              <w:spacing w:line="276" w:lineRule="auto"/>
              <w:jc w:val="center"/>
              <w:rPr>
                <w:rFonts w:ascii="Garamond" w:eastAsia="Calibri" w:hAnsi="Garamond" w:cs="Times New Roman"/>
                <w:sz w:val="22"/>
                <w:lang w:val="en-GB"/>
              </w:rPr>
            </w:pPr>
          </w:p>
        </w:tc>
        <w:tc>
          <w:tcPr>
            <w:tcW w:w="2131" w:type="dxa"/>
            <w:tcBorders>
              <w:top w:val="single" w:sz="4" w:space="0" w:color="000000" w:themeColor="text1"/>
              <w:left w:val="single" w:sz="4" w:space="0" w:color="000000" w:themeColor="text1"/>
              <w:bottom w:val="double" w:sz="4" w:space="0" w:color="auto"/>
              <w:right w:val="single" w:sz="4" w:space="0" w:color="000000" w:themeColor="text1"/>
            </w:tcBorders>
            <w:shd w:val="clear" w:color="auto" w:fill="F2F2F2" w:themeFill="background1" w:themeFillShade="F2"/>
            <w:vAlign w:val="center"/>
          </w:tcPr>
          <w:p w14:paraId="0CFB1132" w14:textId="620F856B" w:rsidR="00FA218B" w:rsidRPr="001E7605" w:rsidRDefault="00FA218B" w:rsidP="00FA218B">
            <w:pPr>
              <w:spacing w:line="276" w:lineRule="auto"/>
              <w:jc w:val="center"/>
              <w:rPr>
                <w:rFonts w:ascii="Garamond" w:eastAsia="Calibri" w:hAnsi="Garamond" w:cs="Times New Roman"/>
                <w:b/>
                <w:bCs/>
                <w:sz w:val="22"/>
                <w:lang w:val="en-GB"/>
              </w:rPr>
            </w:pPr>
            <w:r w:rsidRPr="001E7605">
              <w:rPr>
                <w:rFonts w:ascii="Garamond" w:eastAsia="Calibri" w:hAnsi="Garamond" w:cs="Times New Roman"/>
                <w:b/>
                <w:bCs/>
                <w:sz w:val="22"/>
                <w:lang w:val="en-GB"/>
              </w:rPr>
              <w:t>V</w:t>
            </w:r>
            <w:r w:rsidR="006C29E4" w:rsidRPr="00A945AB">
              <w:rPr>
                <w:rFonts w:ascii="Garamond" w:eastAsia="Calibri" w:hAnsi="Garamond" w:cs="Times New Roman"/>
                <w:b/>
                <w:bCs/>
                <w:sz w:val="22"/>
                <w:vertAlign w:val="subscript"/>
                <w:lang w:val="en-GB"/>
              </w:rPr>
              <w:t>1/2</w:t>
            </w:r>
            <w:r w:rsidRPr="001E7605">
              <w:rPr>
                <w:rFonts w:ascii="Garamond" w:eastAsia="Calibri" w:hAnsi="Garamond" w:cs="Times New Roman"/>
                <w:b/>
                <w:bCs/>
                <w:sz w:val="22"/>
                <w:lang w:val="en-GB"/>
              </w:rPr>
              <w:t xml:space="preserve"> (mV)</w:t>
            </w:r>
          </w:p>
        </w:tc>
        <w:tc>
          <w:tcPr>
            <w:tcW w:w="1985" w:type="dxa"/>
            <w:tcBorders>
              <w:top w:val="single" w:sz="4" w:space="0" w:color="000000" w:themeColor="text1"/>
              <w:left w:val="single" w:sz="4" w:space="0" w:color="000000" w:themeColor="text1"/>
              <w:bottom w:val="double" w:sz="4" w:space="0" w:color="auto"/>
              <w:right w:val="single" w:sz="4" w:space="0" w:color="000000" w:themeColor="text1"/>
            </w:tcBorders>
            <w:shd w:val="clear" w:color="auto" w:fill="F2F2F2" w:themeFill="background1" w:themeFillShade="F2"/>
            <w:vAlign w:val="center"/>
          </w:tcPr>
          <w:p w14:paraId="16CF7439" w14:textId="77777777" w:rsidR="00FA218B" w:rsidRPr="001E7605" w:rsidRDefault="00FA218B" w:rsidP="00FA218B">
            <w:pPr>
              <w:spacing w:line="276" w:lineRule="auto"/>
              <w:jc w:val="center"/>
              <w:rPr>
                <w:rFonts w:ascii="Garamond" w:eastAsia="Calibri" w:hAnsi="Garamond" w:cs="Times New Roman"/>
                <w:b/>
                <w:bCs/>
                <w:sz w:val="22"/>
                <w:lang w:val="en-GB"/>
              </w:rPr>
            </w:pPr>
            <w:r w:rsidRPr="001E7605">
              <w:rPr>
                <w:rFonts w:ascii="Garamond" w:eastAsia="Calibri" w:hAnsi="Garamond" w:cs="Times New Roman"/>
                <w:b/>
                <w:bCs/>
                <w:sz w:val="22"/>
                <w:lang w:val="en-GB"/>
              </w:rPr>
              <w:t>s (mV)</w:t>
            </w:r>
          </w:p>
        </w:tc>
        <w:tc>
          <w:tcPr>
            <w:tcW w:w="1972" w:type="dxa"/>
            <w:tcBorders>
              <w:top w:val="single" w:sz="4" w:space="0" w:color="000000" w:themeColor="text1"/>
              <w:left w:val="single" w:sz="4" w:space="0" w:color="000000" w:themeColor="text1"/>
              <w:bottom w:val="double" w:sz="4" w:space="0" w:color="auto"/>
              <w:right w:val="single" w:sz="4" w:space="0" w:color="000000" w:themeColor="text1"/>
            </w:tcBorders>
            <w:shd w:val="clear" w:color="auto" w:fill="F2F2F2" w:themeFill="background1" w:themeFillShade="F2"/>
          </w:tcPr>
          <w:p w14:paraId="2FAA6601" w14:textId="77777777" w:rsidR="00FA218B" w:rsidRPr="001E7605" w:rsidRDefault="00FA218B" w:rsidP="00FA218B">
            <w:pPr>
              <w:spacing w:line="276" w:lineRule="auto"/>
              <w:jc w:val="center"/>
              <w:rPr>
                <w:rFonts w:ascii="Garamond" w:eastAsia="Calibri" w:hAnsi="Garamond" w:cs="Times New Roman"/>
                <w:b/>
                <w:bCs/>
                <w:sz w:val="22"/>
                <w:lang w:val="en-GB"/>
              </w:rPr>
            </w:pPr>
            <w:r w:rsidRPr="001E7605">
              <w:rPr>
                <w:rFonts w:ascii="Garamond" w:eastAsia="Calibri" w:hAnsi="Garamond" w:cs="Times New Roman"/>
                <w:b/>
                <w:bCs/>
                <w:sz w:val="22"/>
                <w:lang w:val="en-GB"/>
              </w:rPr>
              <w:t>n</w:t>
            </w:r>
          </w:p>
        </w:tc>
      </w:tr>
      <w:tr w:rsidR="00FA218B" w:rsidRPr="001E7605" w14:paraId="3ECA16B7" w14:textId="77777777" w:rsidTr="00BA568D">
        <w:tc>
          <w:tcPr>
            <w:tcW w:w="2547" w:type="dxa"/>
            <w:tcBorders>
              <w:top w:val="double" w:sz="4" w:space="0" w:color="auto"/>
              <w:left w:val="single" w:sz="4" w:space="0" w:color="000000" w:themeColor="text1"/>
              <w:bottom w:val="nil"/>
              <w:right w:val="single" w:sz="4" w:space="0" w:color="000000" w:themeColor="text1"/>
            </w:tcBorders>
            <w:vAlign w:val="center"/>
          </w:tcPr>
          <w:p w14:paraId="31306F34"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w:t>
            </w:r>
          </w:p>
        </w:tc>
        <w:tc>
          <w:tcPr>
            <w:tcW w:w="2131" w:type="dxa"/>
            <w:tcBorders>
              <w:top w:val="double" w:sz="4" w:space="0" w:color="auto"/>
              <w:left w:val="single" w:sz="4" w:space="0" w:color="000000" w:themeColor="text1"/>
              <w:bottom w:val="nil"/>
              <w:right w:val="single" w:sz="4" w:space="0" w:color="000000" w:themeColor="text1"/>
            </w:tcBorders>
            <w:vAlign w:val="center"/>
          </w:tcPr>
          <w:p w14:paraId="2A26D8DC"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-3.3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0.8</w:t>
            </w:r>
          </w:p>
        </w:tc>
        <w:tc>
          <w:tcPr>
            <w:tcW w:w="1985" w:type="dxa"/>
            <w:tcBorders>
              <w:top w:val="double" w:sz="4" w:space="0" w:color="auto"/>
              <w:left w:val="single" w:sz="4" w:space="0" w:color="000000" w:themeColor="text1"/>
              <w:bottom w:val="nil"/>
              <w:right w:val="single" w:sz="4" w:space="0" w:color="000000" w:themeColor="text1"/>
            </w:tcBorders>
            <w:vAlign w:val="center"/>
          </w:tcPr>
          <w:p w14:paraId="2F5A47E4"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6.2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0.5</w:t>
            </w:r>
          </w:p>
        </w:tc>
        <w:tc>
          <w:tcPr>
            <w:tcW w:w="1972" w:type="dxa"/>
            <w:tcBorders>
              <w:top w:val="double" w:sz="4" w:space="0" w:color="auto"/>
              <w:left w:val="single" w:sz="4" w:space="0" w:color="000000" w:themeColor="text1"/>
              <w:bottom w:val="nil"/>
              <w:right w:val="single" w:sz="4" w:space="0" w:color="000000" w:themeColor="text1"/>
            </w:tcBorders>
          </w:tcPr>
          <w:p w14:paraId="3584B2BF"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12</w:t>
            </w:r>
          </w:p>
        </w:tc>
      </w:tr>
      <w:tr w:rsidR="00FA218B" w:rsidRPr="001E7605" w14:paraId="61138453" w14:textId="77777777" w:rsidTr="000C26EB">
        <w:tc>
          <w:tcPr>
            <w:tcW w:w="2547" w:type="dxa"/>
            <w:tcBorders>
              <w:top w:val="nil"/>
              <w:left w:val="single" w:sz="4" w:space="0" w:color="000000" w:themeColor="text1"/>
              <w:bottom w:val="nil"/>
              <w:right w:val="single" w:sz="4" w:space="0" w:color="000000" w:themeColor="text1"/>
            </w:tcBorders>
            <w:vAlign w:val="center"/>
          </w:tcPr>
          <w:p w14:paraId="69D62F56"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 + Lgi3</w:t>
            </w:r>
          </w:p>
        </w:tc>
        <w:tc>
          <w:tcPr>
            <w:tcW w:w="2131" w:type="dxa"/>
            <w:tcBorders>
              <w:top w:val="nil"/>
              <w:left w:val="single" w:sz="4" w:space="0" w:color="000000" w:themeColor="text1"/>
              <w:bottom w:val="nil"/>
              <w:right w:val="single" w:sz="4" w:space="0" w:color="000000" w:themeColor="text1"/>
            </w:tcBorders>
            <w:vAlign w:val="center"/>
          </w:tcPr>
          <w:p w14:paraId="58E2F3AC"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-3.2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0.9</w:t>
            </w:r>
          </w:p>
        </w:tc>
        <w:tc>
          <w:tcPr>
            <w:tcW w:w="1985" w:type="dxa"/>
            <w:tcBorders>
              <w:top w:val="nil"/>
              <w:left w:val="single" w:sz="4" w:space="0" w:color="000000" w:themeColor="text1"/>
              <w:bottom w:val="nil"/>
              <w:right w:val="single" w:sz="4" w:space="0" w:color="000000" w:themeColor="text1"/>
            </w:tcBorders>
            <w:vAlign w:val="center"/>
          </w:tcPr>
          <w:p w14:paraId="15AAE9E0"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6.6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0.5</w:t>
            </w:r>
          </w:p>
        </w:tc>
        <w:tc>
          <w:tcPr>
            <w:tcW w:w="1972" w:type="dxa"/>
            <w:tcBorders>
              <w:top w:val="nil"/>
              <w:left w:val="single" w:sz="4" w:space="0" w:color="000000" w:themeColor="text1"/>
              <w:bottom w:val="nil"/>
              <w:right w:val="single" w:sz="4" w:space="0" w:color="000000" w:themeColor="text1"/>
            </w:tcBorders>
          </w:tcPr>
          <w:p w14:paraId="58DAE86D"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11</w:t>
            </w:r>
          </w:p>
        </w:tc>
      </w:tr>
      <w:tr w:rsidR="00FA218B" w:rsidRPr="001E7605" w14:paraId="4AECBB99" w14:textId="77777777" w:rsidTr="000C26EB">
        <w:tc>
          <w:tcPr>
            <w:tcW w:w="2547" w:type="dxa"/>
            <w:tcBorders>
              <w:top w:val="nil"/>
              <w:left w:val="single" w:sz="4" w:space="0" w:color="000000" w:themeColor="text1"/>
              <w:bottom w:val="single" w:sz="4" w:space="0" w:color="000000" w:themeColor="text1"/>
              <w:right w:val="single" w:sz="4" w:space="0" w:color="000000" w:themeColor="text1"/>
            </w:tcBorders>
            <w:vAlign w:val="center"/>
          </w:tcPr>
          <w:p w14:paraId="44C83F1E"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 + Lgi4</w:t>
            </w:r>
          </w:p>
        </w:tc>
        <w:tc>
          <w:tcPr>
            <w:tcW w:w="2131" w:type="dxa"/>
            <w:tcBorders>
              <w:top w:val="nil"/>
              <w:left w:val="single" w:sz="4" w:space="0" w:color="000000" w:themeColor="text1"/>
              <w:bottom w:val="single" w:sz="4" w:space="0" w:color="000000" w:themeColor="text1"/>
              <w:right w:val="single" w:sz="4" w:space="0" w:color="000000" w:themeColor="text1"/>
            </w:tcBorders>
            <w:vAlign w:val="center"/>
          </w:tcPr>
          <w:p w14:paraId="512A2901"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-8.9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0.7 **</w:t>
            </w:r>
          </w:p>
        </w:tc>
        <w:tc>
          <w:tcPr>
            <w:tcW w:w="1985" w:type="dxa"/>
            <w:tcBorders>
              <w:top w:val="nil"/>
              <w:left w:val="single" w:sz="4" w:space="0" w:color="000000" w:themeColor="text1"/>
              <w:bottom w:val="single" w:sz="4" w:space="0" w:color="000000" w:themeColor="text1"/>
              <w:right w:val="single" w:sz="4" w:space="0" w:color="000000" w:themeColor="text1"/>
            </w:tcBorders>
            <w:vAlign w:val="center"/>
          </w:tcPr>
          <w:p w14:paraId="5973F3AA"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6.1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0.5</w:t>
            </w:r>
          </w:p>
        </w:tc>
        <w:tc>
          <w:tcPr>
            <w:tcW w:w="1972" w:type="dxa"/>
            <w:tcBorders>
              <w:top w:val="nil"/>
              <w:left w:val="single" w:sz="4" w:space="0" w:color="000000" w:themeColor="text1"/>
              <w:bottom w:val="single" w:sz="4" w:space="0" w:color="000000" w:themeColor="text1"/>
              <w:right w:val="single" w:sz="4" w:space="0" w:color="000000" w:themeColor="text1"/>
            </w:tcBorders>
          </w:tcPr>
          <w:p w14:paraId="5057949A"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12</w:t>
            </w:r>
          </w:p>
        </w:tc>
      </w:tr>
      <w:tr w:rsidR="00FA218B" w:rsidRPr="001E7605" w14:paraId="78FE64D4" w14:textId="77777777" w:rsidTr="000C26EB">
        <w:tc>
          <w:tcPr>
            <w:tcW w:w="2547" w:type="dxa"/>
            <w:tcBorders>
              <w:top w:val="single" w:sz="4" w:space="0" w:color="000000" w:themeColor="text1"/>
              <w:left w:val="single" w:sz="4" w:space="0" w:color="000000" w:themeColor="text1"/>
              <w:bottom w:val="nil"/>
              <w:right w:val="single" w:sz="4" w:space="0" w:color="000000" w:themeColor="text1"/>
            </w:tcBorders>
            <w:vAlign w:val="center"/>
          </w:tcPr>
          <w:p w14:paraId="76E5CCBF"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β2.1</w:t>
            </w:r>
          </w:p>
        </w:tc>
        <w:tc>
          <w:tcPr>
            <w:tcW w:w="2131" w:type="dxa"/>
            <w:tcBorders>
              <w:top w:val="single" w:sz="4" w:space="0" w:color="000000" w:themeColor="text1"/>
              <w:left w:val="single" w:sz="4" w:space="0" w:color="000000" w:themeColor="text1"/>
              <w:bottom w:val="nil"/>
              <w:right w:val="single" w:sz="4" w:space="0" w:color="000000" w:themeColor="text1"/>
            </w:tcBorders>
            <w:vAlign w:val="center"/>
          </w:tcPr>
          <w:p w14:paraId="68ECB85D"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-10.6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1.6</w:t>
            </w:r>
          </w:p>
        </w:tc>
        <w:tc>
          <w:tcPr>
            <w:tcW w:w="1985" w:type="dxa"/>
            <w:tcBorders>
              <w:top w:val="single" w:sz="4" w:space="0" w:color="000000" w:themeColor="text1"/>
              <w:left w:val="single" w:sz="4" w:space="0" w:color="000000" w:themeColor="text1"/>
              <w:bottom w:val="nil"/>
              <w:right w:val="single" w:sz="4" w:space="0" w:color="000000" w:themeColor="text1"/>
            </w:tcBorders>
            <w:vAlign w:val="center"/>
          </w:tcPr>
          <w:p w14:paraId="5C69C716"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6.9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0.5</w:t>
            </w:r>
          </w:p>
        </w:tc>
        <w:tc>
          <w:tcPr>
            <w:tcW w:w="1972" w:type="dxa"/>
            <w:tcBorders>
              <w:top w:val="single" w:sz="4" w:space="0" w:color="000000" w:themeColor="text1"/>
              <w:left w:val="single" w:sz="4" w:space="0" w:color="000000" w:themeColor="text1"/>
              <w:bottom w:val="nil"/>
              <w:right w:val="single" w:sz="4" w:space="0" w:color="000000" w:themeColor="text1"/>
            </w:tcBorders>
          </w:tcPr>
          <w:p w14:paraId="61078822"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9</w:t>
            </w:r>
          </w:p>
        </w:tc>
      </w:tr>
      <w:tr w:rsidR="00FA218B" w:rsidRPr="001E7605" w14:paraId="12188D16" w14:textId="77777777" w:rsidTr="000C26EB">
        <w:tc>
          <w:tcPr>
            <w:tcW w:w="2547" w:type="dxa"/>
            <w:tcBorders>
              <w:top w:val="nil"/>
              <w:left w:val="single" w:sz="4" w:space="0" w:color="000000" w:themeColor="text1"/>
              <w:bottom w:val="nil"/>
              <w:right w:val="single" w:sz="4" w:space="0" w:color="000000" w:themeColor="text1"/>
            </w:tcBorders>
            <w:vAlign w:val="center"/>
          </w:tcPr>
          <w:p w14:paraId="526F091C"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β2.1 + Lgi3</w:t>
            </w:r>
          </w:p>
        </w:tc>
        <w:tc>
          <w:tcPr>
            <w:tcW w:w="2131" w:type="dxa"/>
            <w:tcBorders>
              <w:top w:val="nil"/>
              <w:left w:val="single" w:sz="4" w:space="0" w:color="000000" w:themeColor="text1"/>
              <w:bottom w:val="nil"/>
              <w:right w:val="single" w:sz="4" w:space="0" w:color="000000" w:themeColor="text1"/>
            </w:tcBorders>
            <w:vAlign w:val="center"/>
          </w:tcPr>
          <w:p w14:paraId="08BD46D3"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-4.1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1.5 *</w:t>
            </w:r>
          </w:p>
        </w:tc>
        <w:tc>
          <w:tcPr>
            <w:tcW w:w="1985" w:type="dxa"/>
            <w:tcBorders>
              <w:top w:val="nil"/>
              <w:left w:val="single" w:sz="4" w:space="0" w:color="000000" w:themeColor="text1"/>
              <w:bottom w:val="nil"/>
              <w:right w:val="single" w:sz="4" w:space="0" w:color="000000" w:themeColor="text1"/>
            </w:tcBorders>
            <w:vAlign w:val="center"/>
          </w:tcPr>
          <w:p w14:paraId="6052C359"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7.7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0.7</w:t>
            </w:r>
          </w:p>
        </w:tc>
        <w:tc>
          <w:tcPr>
            <w:tcW w:w="1972" w:type="dxa"/>
            <w:tcBorders>
              <w:top w:val="nil"/>
              <w:left w:val="single" w:sz="4" w:space="0" w:color="000000" w:themeColor="text1"/>
              <w:bottom w:val="nil"/>
              <w:right w:val="single" w:sz="4" w:space="0" w:color="000000" w:themeColor="text1"/>
            </w:tcBorders>
          </w:tcPr>
          <w:p w14:paraId="621D1E19"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8</w:t>
            </w:r>
          </w:p>
        </w:tc>
      </w:tr>
      <w:tr w:rsidR="00FA218B" w:rsidRPr="001E7605" w14:paraId="3F262ACF" w14:textId="77777777" w:rsidTr="000C26EB">
        <w:tc>
          <w:tcPr>
            <w:tcW w:w="2547" w:type="dxa"/>
            <w:tcBorders>
              <w:top w:val="nil"/>
              <w:left w:val="single" w:sz="4" w:space="0" w:color="000000" w:themeColor="text1"/>
              <w:bottom w:val="single" w:sz="4" w:space="0" w:color="000000" w:themeColor="text1"/>
              <w:right w:val="single" w:sz="4" w:space="0" w:color="000000" w:themeColor="text1"/>
            </w:tcBorders>
            <w:vAlign w:val="center"/>
          </w:tcPr>
          <w:p w14:paraId="52E93CF6"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β2.1 + Lgi4</w:t>
            </w:r>
          </w:p>
        </w:tc>
        <w:tc>
          <w:tcPr>
            <w:tcW w:w="2131" w:type="dxa"/>
            <w:tcBorders>
              <w:top w:val="nil"/>
              <w:left w:val="single" w:sz="4" w:space="0" w:color="000000" w:themeColor="text1"/>
              <w:bottom w:val="single" w:sz="4" w:space="0" w:color="000000" w:themeColor="text1"/>
              <w:right w:val="single" w:sz="4" w:space="0" w:color="000000" w:themeColor="text1"/>
            </w:tcBorders>
            <w:vAlign w:val="center"/>
          </w:tcPr>
          <w:p w14:paraId="58D49D81"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-4.9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0.7**</w:t>
            </w:r>
          </w:p>
        </w:tc>
        <w:tc>
          <w:tcPr>
            <w:tcW w:w="1985" w:type="dxa"/>
            <w:tcBorders>
              <w:top w:val="nil"/>
              <w:left w:val="single" w:sz="4" w:space="0" w:color="000000" w:themeColor="text1"/>
              <w:bottom w:val="single" w:sz="4" w:space="0" w:color="000000" w:themeColor="text1"/>
              <w:right w:val="single" w:sz="4" w:space="0" w:color="000000" w:themeColor="text1"/>
            </w:tcBorders>
            <w:vAlign w:val="center"/>
          </w:tcPr>
          <w:p w14:paraId="6FAB4C88"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7.5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0.4</w:t>
            </w:r>
          </w:p>
        </w:tc>
        <w:tc>
          <w:tcPr>
            <w:tcW w:w="1972" w:type="dxa"/>
            <w:tcBorders>
              <w:top w:val="nil"/>
              <w:left w:val="single" w:sz="4" w:space="0" w:color="000000" w:themeColor="text1"/>
              <w:bottom w:val="single" w:sz="4" w:space="0" w:color="000000" w:themeColor="text1"/>
              <w:right w:val="single" w:sz="4" w:space="0" w:color="000000" w:themeColor="text1"/>
            </w:tcBorders>
          </w:tcPr>
          <w:p w14:paraId="19A3E21D"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9</w:t>
            </w:r>
          </w:p>
        </w:tc>
      </w:tr>
      <w:tr w:rsidR="00FA218B" w:rsidRPr="001E7605" w14:paraId="0A3213CC" w14:textId="77777777" w:rsidTr="000C26EB">
        <w:tc>
          <w:tcPr>
            <w:tcW w:w="2547" w:type="dxa"/>
            <w:tcBorders>
              <w:top w:val="single" w:sz="4" w:space="0" w:color="000000" w:themeColor="text1"/>
              <w:left w:val="single" w:sz="4" w:space="0" w:color="000000" w:themeColor="text1"/>
              <w:bottom w:val="nil"/>
              <w:right w:val="single" w:sz="4" w:space="0" w:color="000000" w:themeColor="text1"/>
            </w:tcBorders>
            <w:vAlign w:val="center"/>
          </w:tcPr>
          <w:p w14:paraId="36450A7C"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β1.3</w:t>
            </w:r>
          </w:p>
        </w:tc>
        <w:tc>
          <w:tcPr>
            <w:tcW w:w="2131" w:type="dxa"/>
            <w:tcBorders>
              <w:top w:val="single" w:sz="4" w:space="0" w:color="000000" w:themeColor="text1"/>
              <w:left w:val="single" w:sz="4" w:space="0" w:color="000000" w:themeColor="text1"/>
              <w:bottom w:val="nil"/>
              <w:right w:val="single" w:sz="4" w:space="0" w:color="000000" w:themeColor="text1"/>
            </w:tcBorders>
            <w:vAlign w:val="center"/>
          </w:tcPr>
          <w:p w14:paraId="11B0153C"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-21.8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1.3</w:t>
            </w:r>
          </w:p>
        </w:tc>
        <w:tc>
          <w:tcPr>
            <w:tcW w:w="1985" w:type="dxa"/>
            <w:tcBorders>
              <w:top w:val="single" w:sz="4" w:space="0" w:color="000000" w:themeColor="text1"/>
              <w:left w:val="single" w:sz="4" w:space="0" w:color="000000" w:themeColor="text1"/>
              <w:bottom w:val="nil"/>
              <w:right w:val="single" w:sz="4" w:space="0" w:color="000000" w:themeColor="text1"/>
            </w:tcBorders>
            <w:vAlign w:val="center"/>
          </w:tcPr>
          <w:p w14:paraId="2B2B5EA3"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3.2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0.2</w:t>
            </w:r>
          </w:p>
        </w:tc>
        <w:tc>
          <w:tcPr>
            <w:tcW w:w="1972" w:type="dxa"/>
            <w:tcBorders>
              <w:top w:val="single" w:sz="4" w:space="0" w:color="000000" w:themeColor="text1"/>
              <w:left w:val="single" w:sz="4" w:space="0" w:color="000000" w:themeColor="text1"/>
              <w:bottom w:val="nil"/>
              <w:right w:val="single" w:sz="4" w:space="0" w:color="000000" w:themeColor="text1"/>
            </w:tcBorders>
          </w:tcPr>
          <w:p w14:paraId="39DA63C3"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15</w:t>
            </w:r>
          </w:p>
        </w:tc>
      </w:tr>
      <w:tr w:rsidR="00FA218B" w:rsidRPr="001E7605" w14:paraId="7CFBFB75" w14:textId="77777777" w:rsidTr="000C26EB">
        <w:tc>
          <w:tcPr>
            <w:tcW w:w="2547" w:type="dxa"/>
            <w:tcBorders>
              <w:top w:val="nil"/>
              <w:left w:val="single" w:sz="4" w:space="0" w:color="000000" w:themeColor="text1"/>
              <w:bottom w:val="nil"/>
              <w:right w:val="single" w:sz="4" w:space="0" w:color="000000" w:themeColor="text1"/>
            </w:tcBorders>
            <w:vAlign w:val="center"/>
          </w:tcPr>
          <w:p w14:paraId="3E2E386D"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β1.3 + Lgi3</w:t>
            </w:r>
          </w:p>
        </w:tc>
        <w:tc>
          <w:tcPr>
            <w:tcW w:w="2131" w:type="dxa"/>
            <w:tcBorders>
              <w:top w:val="nil"/>
              <w:left w:val="single" w:sz="4" w:space="0" w:color="000000" w:themeColor="text1"/>
              <w:bottom w:val="nil"/>
              <w:right w:val="single" w:sz="4" w:space="0" w:color="000000" w:themeColor="text1"/>
            </w:tcBorders>
            <w:vAlign w:val="center"/>
          </w:tcPr>
          <w:p w14:paraId="0E3773BC"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-18.7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1.4</w:t>
            </w:r>
          </w:p>
        </w:tc>
        <w:tc>
          <w:tcPr>
            <w:tcW w:w="1985" w:type="dxa"/>
            <w:tcBorders>
              <w:top w:val="nil"/>
              <w:left w:val="single" w:sz="4" w:space="0" w:color="000000" w:themeColor="text1"/>
              <w:bottom w:val="nil"/>
              <w:right w:val="single" w:sz="4" w:space="0" w:color="000000" w:themeColor="text1"/>
            </w:tcBorders>
            <w:vAlign w:val="center"/>
          </w:tcPr>
          <w:p w14:paraId="005FA760"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5.5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0.8 *</w:t>
            </w:r>
          </w:p>
        </w:tc>
        <w:tc>
          <w:tcPr>
            <w:tcW w:w="1972" w:type="dxa"/>
            <w:tcBorders>
              <w:top w:val="nil"/>
              <w:left w:val="single" w:sz="4" w:space="0" w:color="000000" w:themeColor="text1"/>
              <w:bottom w:val="nil"/>
              <w:right w:val="single" w:sz="4" w:space="0" w:color="000000" w:themeColor="text1"/>
            </w:tcBorders>
          </w:tcPr>
          <w:p w14:paraId="70A4CA90"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17</w:t>
            </w:r>
          </w:p>
        </w:tc>
      </w:tr>
      <w:tr w:rsidR="00FA218B" w:rsidRPr="001E7605" w14:paraId="5A4C0B87" w14:textId="77777777" w:rsidTr="000C26EB">
        <w:tc>
          <w:tcPr>
            <w:tcW w:w="2547" w:type="dxa"/>
            <w:tcBorders>
              <w:top w:val="nil"/>
              <w:left w:val="single" w:sz="4" w:space="0" w:color="000000" w:themeColor="text1"/>
              <w:bottom w:val="single" w:sz="4" w:space="0" w:color="000000" w:themeColor="text1"/>
              <w:right w:val="single" w:sz="4" w:space="0" w:color="000000" w:themeColor="text1"/>
            </w:tcBorders>
            <w:vAlign w:val="center"/>
          </w:tcPr>
          <w:p w14:paraId="69EABD8C"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β1.3 + Lgi4</w:t>
            </w:r>
          </w:p>
        </w:tc>
        <w:tc>
          <w:tcPr>
            <w:tcW w:w="2131" w:type="dxa"/>
            <w:tcBorders>
              <w:top w:val="nil"/>
              <w:left w:val="single" w:sz="4" w:space="0" w:color="000000" w:themeColor="text1"/>
              <w:bottom w:val="single" w:sz="4" w:space="0" w:color="000000" w:themeColor="text1"/>
              <w:right w:val="single" w:sz="4" w:space="0" w:color="000000" w:themeColor="text1"/>
            </w:tcBorders>
            <w:vAlign w:val="center"/>
          </w:tcPr>
          <w:p w14:paraId="6D76A269"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-19.6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0.8</w:t>
            </w:r>
          </w:p>
        </w:tc>
        <w:tc>
          <w:tcPr>
            <w:tcW w:w="1985" w:type="dxa"/>
            <w:tcBorders>
              <w:top w:val="nil"/>
              <w:left w:val="single" w:sz="4" w:space="0" w:color="000000" w:themeColor="text1"/>
              <w:bottom w:val="single" w:sz="4" w:space="0" w:color="000000" w:themeColor="text1"/>
              <w:right w:val="single" w:sz="4" w:space="0" w:color="000000" w:themeColor="text1"/>
            </w:tcBorders>
            <w:vAlign w:val="center"/>
          </w:tcPr>
          <w:p w14:paraId="7B418E54"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3.5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0.3</w:t>
            </w:r>
          </w:p>
        </w:tc>
        <w:tc>
          <w:tcPr>
            <w:tcW w:w="1972" w:type="dxa"/>
            <w:tcBorders>
              <w:top w:val="nil"/>
              <w:left w:val="single" w:sz="4" w:space="0" w:color="000000" w:themeColor="text1"/>
              <w:bottom w:val="single" w:sz="4" w:space="0" w:color="000000" w:themeColor="text1"/>
              <w:right w:val="single" w:sz="4" w:space="0" w:color="000000" w:themeColor="text1"/>
            </w:tcBorders>
          </w:tcPr>
          <w:p w14:paraId="1CFE13D8"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12</w:t>
            </w:r>
          </w:p>
        </w:tc>
      </w:tr>
      <w:tr w:rsidR="00FA218B" w:rsidRPr="001E7605" w14:paraId="0A0FF5D8" w14:textId="77777777" w:rsidTr="000C26EB">
        <w:tc>
          <w:tcPr>
            <w:tcW w:w="2547" w:type="dxa"/>
            <w:tcBorders>
              <w:top w:val="single" w:sz="4" w:space="0" w:color="000000" w:themeColor="text1"/>
              <w:left w:val="single" w:sz="4" w:space="0" w:color="000000" w:themeColor="text1"/>
              <w:bottom w:val="nil"/>
              <w:right w:val="single" w:sz="4" w:space="0" w:color="000000" w:themeColor="text1"/>
            </w:tcBorders>
            <w:vAlign w:val="center"/>
          </w:tcPr>
          <w:p w14:paraId="32630D84"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β1.2</w:t>
            </w:r>
          </w:p>
        </w:tc>
        <w:tc>
          <w:tcPr>
            <w:tcW w:w="2131" w:type="dxa"/>
            <w:tcBorders>
              <w:top w:val="single" w:sz="4" w:space="0" w:color="000000" w:themeColor="text1"/>
              <w:left w:val="single" w:sz="4" w:space="0" w:color="000000" w:themeColor="text1"/>
              <w:bottom w:val="nil"/>
              <w:right w:val="single" w:sz="4" w:space="0" w:color="000000" w:themeColor="text1"/>
            </w:tcBorders>
            <w:vAlign w:val="center"/>
          </w:tcPr>
          <w:p w14:paraId="1D0A41C5"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-18.2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1.4</w:t>
            </w:r>
          </w:p>
        </w:tc>
        <w:tc>
          <w:tcPr>
            <w:tcW w:w="1985" w:type="dxa"/>
            <w:tcBorders>
              <w:top w:val="single" w:sz="4" w:space="0" w:color="000000" w:themeColor="text1"/>
              <w:left w:val="single" w:sz="4" w:space="0" w:color="000000" w:themeColor="text1"/>
              <w:bottom w:val="nil"/>
              <w:right w:val="single" w:sz="4" w:space="0" w:color="000000" w:themeColor="text1"/>
            </w:tcBorders>
            <w:vAlign w:val="center"/>
          </w:tcPr>
          <w:p w14:paraId="2D89DA9D"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4.6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0.4</w:t>
            </w:r>
          </w:p>
        </w:tc>
        <w:tc>
          <w:tcPr>
            <w:tcW w:w="1972" w:type="dxa"/>
            <w:tcBorders>
              <w:top w:val="single" w:sz="4" w:space="0" w:color="000000" w:themeColor="text1"/>
              <w:left w:val="single" w:sz="4" w:space="0" w:color="000000" w:themeColor="text1"/>
              <w:bottom w:val="nil"/>
              <w:right w:val="single" w:sz="4" w:space="0" w:color="000000" w:themeColor="text1"/>
            </w:tcBorders>
          </w:tcPr>
          <w:p w14:paraId="1C948DC8"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13</w:t>
            </w:r>
          </w:p>
        </w:tc>
      </w:tr>
      <w:tr w:rsidR="00FA218B" w:rsidRPr="001E7605" w14:paraId="4A88559E" w14:textId="77777777" w:rsidTr="000C26EB">
        <w:tc>
          <w:tcPr>
            <w:tcW w:w="2547" w:type="dxa"/>
            <w:tcBorders>
              <w:top w:val="nil"/>
              <w:left w:val="single" w:sz="4" w:space="0" w:color="000000" w:themeColor="text1"/>
              <w:bottom w:val="nil"/>
              <w:right w:val="single" w:sz="4" w:space="0" w:color="000000" w:themeColor="text1"/>
            </w:tcBorders>
            <w:vAlign w:val="center"/>
          </w:tcPr>
          <w:p w14:paraId="21571E30"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β1.2 + Lgi3</w:t>
            </w:r>
          </w:p>
        </w:tc>
        <w:tc>
          <w:tcPr>
            <w:tcW w:w="2131" w:type="dxa"/>
            <w:tcBorders>
              <w:top w:val="nil"/>
              <w:left w:val="single" w:sz="4" w:space="0" w:color="000000" w:themeColor="text1"/>
              <w:bottom w:val="nil"/>
              <w:right w:val="single" w:sz="4" w:space="0" w:color="000000" w:themeColor="text1"/>
            </w:tcBorders>
            <w:vAlign w:val="center"/>
          </w:tcPr>
          <w:p w14:paraId="262DCC30"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-14.8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1.4</w:t>
            </w:r>
          </w:p>
        </w:tc>
        <w:tc>
          <w:tcPr>
            <w:tcW w:w="1985" w:type="dxa"/>
            <w:tcBorders>
              <w:top w:val="nil"/>
              <w:left w:val="single" w:sz="4" w:space="0" w:color="000000" w:themeColor="text1"/>
              <w:bottom w:val="nil"/>
              <w:right w:val="single" w:sz="4" w:space="0" w:color="000000" w:themeColor="text1"/>
            </w:tcBorders>
            <w:vAlign w:val="center"/>
          </w:tcPr>
          <w:p w14:paraId="45FF227B"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5.4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0.5</w:t>
            </w:r>
          </w:p>
        </w:tc>
        <w:tc>
          <w:tcPr>
            <w:tcW w:w="1972" w:type="dxa"/>
            <w:tcBorders>
              <w:top w:val="nil"/>
              <w:left w:val="single" w:sz="4" w:space="0" w:color="000000" w:themeColor="text1"/>
              <w:bottom w:val="nil"/>
              <w:right w:val="single" w:sz="4" w:space="0" w:color="000000" w:themeColor="text1"/>
            </w:tcBorders>
          </w:tcPr>
          <w:p w14:paraId="67DAA8BD"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10</w:t>
            </w:r>
          </w:p>
        </w:tc>
      </w:tr>
      <w:tr w:rsidR="00FA218B" w:rsidRPr="001E7605" w14:paraId="01DB5DEB" w14:textId="77777777" w:rsidTr="000C26EB">
        <w:tc>
          <w:tcPr>
            <w:tcW w:w="2547" w:type="dxa"/>
            <w:tcBorders>
              <w:top w:val="nil"/>
              <w:left w:val="single" w:sz="4" w:space="0" w:color="000000" w:themeColor="text1"/>
              <w:bottom w:val="single" w:sz="4" w:space="0" w:color="000000" w:themeColor="text1"/>
              <w:right w:val="single" w:sz="4" w:space="0" w:color="000000" w:themeColor="text1"/>
            </w:tcBorders>
            <w:vAlign w:val="center"/>
          </w:tcPr>
          <w:p w14:paraId="6B496B02"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β1.2 + Lgi4</w:t>
            </w:r>
          </w:p>
        </w:tc>
        <w:tc>
          <w:tcPr>
            <w:tcW w:w="2131" w:type="dxa"/>
            <w:tcBorders>
              <w:top w:val="nil"/>
              <w:left w:val="single" w:sz="4" w:space="0" w:color="000000" w:themeColor="text1"/>
              <w:bottom w:val="single" w:sz="4" w:space="0" w:color="000000" w:themeColor="text1"/>
              <w:right w:val="single" w:sz="4" w:space="0" w:color="000000" w:themeColor="text1"/>
            </w:tcBorders>
            <w:vAlign w:val="center"/>
          </w:tcPr>
          <w:p w14:paraId="7A9B190B"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-14.3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1.0</w:t>
            </w:r>
          </w:p>
        </w:tc>
        <w:tc>
          <w:tcPr>
            <w:tcW w:w="1985" w:type="dxa"/>
            <w:tcBorders>
              <w:top w:val="nil"/>
              <w:left w:val="single" w:sz="4" w:space="0" w:color="000000" w:themeColor="text1"/>
              <w:bottom w:val="single" w:sz="4" w:space="0" w:color="000000" w:themeColor="text1"/>
              <w:right w:val="single" w:sz="4" w:space="0" w:color="000000" w:themeColor="text1"/>
            </w:tcBorders>
            <w:vAlign w:val="center"/>
          </w:tcPr>
          <w:p w14:paraId="2B1CBBCD"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4.3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0.6</w:t>
            </w:r>
          </w:p>
        </w:tc>
        <w:tc>
          <w:tcPr>
            <w:tcW w:w="1972" w:type="dxa"/>
            <w:tcBorders>
              <w:top w:val="nil"/>
              <w:left w:val="single" w:sz="4" w:space="0" w:color="000000" w:themeColor="text1"/>
              <w:bottom w:val="single" w:sz="4" w:space="0" w:color="A53D47"/>
              <w:right w:val="single" w:sz="4" w:space="0" w:color="000000" w:themeColor="text1"/>
            </w:tcBorders>
          </w:tcPr>
          <w:p w14:paraId="085D643E"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12</w:t>
            </w:r>
          </w:p>
        </w:tc>
      </w:tr>
      <w:tr w:rsidR="00FA218B" w:rsidRPr="00FF720A" w14:paraId="624DB37D" w14:textId="77777777" w:rsidTr="000C26EB">
        <w:tc>
          <w:tcPr>
            <w:tcW w:w="86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AEA71C"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w:t>
            </w:r>
            <w:r w:rsidRPr="001E7605">
              <w:rPr>
                <w:rFonts w:ascii="Garamond" w:eastAsia="Calibri" w:hAnsi="Garamond" w:cs="Times New Roman"/>
                <w:i/>
                <w:iCs/>
                <w:sz w:val="22"/>
                <w:lang w:val="en-GB"/>
              </w:rPr>
              <w:t xml:space="preserve">p </w:t>
            </w:r>
            <w:r w:rsidRPr="001E7605">
              <w:rPr>
                <w:rFonts w:ascii="Garamond" w:eastAsia="Calibri" w:hAnsi="Garamond" w:cs="Times New Roman"/>
                <w:sz w:val="22"/>
                <w:lang w:val="en-GB"/>
              </w:rPr>
              <w:t>&lt;0.05, **</w:t>
            </w:r>
            <w:r w:rsidRPr="001E7605">
              <w:rPr>
                <w:rFonts w:ascii="Garamond" w:eastAsia="Calibri" w:hAnsi="Garamond" w:cs="Times New Roman"/>
                <w:i/>
                <w:iCs/>
                <w:sz w:val="22"/>
                <w:lang w:val="en-GB"/>
              </w:rPr>
              <w:t xml:space="preserve">p </w:t>
            </w:r>
            <w:r w:rsidRPr="001E7605">
              <w:rPr>
                <w:rFonts w:ascii="Garamond" w:eastAsia="Calibri" w:hAnsi="Garamond" w:cs="Times New Roman"/>
                <w:sz w:val="22"/>
                <w:lang w:val="en-GB"/>
              </w:rPr>
              <w:t>&lt;0.01, unpaired Student’s t-test vs. its corresponding control</w:t>
            </w:r>
          </w:p>
        </w:tc>
      </w:tr>
    </w:tbl>
    <w:p w14:paraId="4F9D1A46" w14:textId="77777777" w:rsidR="00BA568D" w:rsidRPr="001E7605" w:rsidRDefault="00BA568D" w:rsidP="00FA218B">
      <w:pPr>
        <w:spacing w:after="240" w:line="276" w:lineRule="auto"/>
        <w:contextualSpacing/>
        <w:jc w:val="both"/>
        <w:rPr>
          <w:rFonts w:ascii="Garamond" w:eastAsia="Calibri" w:hAnsi="Garamond" w:cs="Times New Roman"/>
          <w:lang w:val="en-GB"/>
        </w:rPr>
      </w:pPr>
    </w:p>
    <w:p w14:paraId="43B87CAA" w14:textId="087E5462" w:rsidR="00FA218B" w:rsidRPr="001E7605" w:rsidRDefault="00FA218B" w:rsidP="00FA218B">
      <w:pPr>
        <w:adjustRightInd w:val="0"/>
        <w:spacing w:before="160" w:after="160"/>
        <w:ind w:right="1093"/>
        <w:jc w:val="both"/>
        <w:rPr>
          <w:rFonts w:ascii="Garamond" w:eastAsia="Calibri" w:hAnsi="Garamond" w:cs="Times New Roman"/>
          <w:sz w:val="21"/>
          <w:lang w:val="en-GB"/>
        </w:rPr>
      </w:pPr>
      <w:r w:rsidRPr="001E7605">
        <w:rPr>
          <w:rFonts w:ascii="Garamond" w:eastAsia="Calibri" w:hAnsi="Garamond" w:cs="Times New Roman"/>
          <w:b/>
          <w:bCs/>
          <w:sz w:val="21"/>
          <w:lang w:val="en-GB"/>
        </w:rPr>
        <w:t>Table S3.</w:t>
      </w:r>
      <w:r w:rsidRPr="001E7605">
        <w:rPr>
          <w:rFonts w:ascii="Garamond" w:eastAsia="Calibri" w:hAnsi="Garamond" w:cs="Times New Roman"/>
          <w:sz w:val="21"/>
          <w:lang w:val="en-GB"/>
        </w:rPr>
        <w:t xml:space="preserve"> Voltage-dependence of inactivation of K</w:t>
      </w:r>
      <w:r w:rsidRPr="001E7605">
        <w:rPr>
          <w:rFonts w:ascii="Garamond" w:eastAsia="Calibri" w:hAnsi="Garamond" w:cs="Times New Roman"/>
          <w:sz w:val="21"/>
          <w:vertAlign w:val="subscript"/>
          <w:lang w:val="en-GB"/>
        </w:rPr>
        <w:t>V</w:t>
      </w:r>
      <w:r w:rsidRPr="001E7605">
        <w:rPr>
          <w:rFonts w:ascii="Garamond" w:eastAsia="Calibri" w:hAnsi="Garamond" w:cs="Times New Roman"/>
          <w:sz w:val="21"/>
          <w:lang w:val="en-GB"/>
        </w:rPr>
        <w:t>1.5 currents in the absence and the presence of K</w:t>
      </w:r>
      <w:r w:rsidRPr="001E7605">
        <w:rPr>
          <w:rFonts w:ascii="Garamond" w:eastAsia="Calibri" w:hAnsi="Garamond" w:cs="Times New Roman"/>
          <w:sz w:val="21"/>
          <w:vertAlign w:val="subscript"/>
          <w:lang w:val="en-GB"/>
        </w:rPr>
        <w:t>V</w:t>
      </w:r>
      <w:r w:rsidRPr="001E7605">
        <w:rPr>
          <w:rFonts w:ascii="Garamond" w:eastAsia="Calibri" w:hAnsi="Garamond" w:cs="Times New Roman"/>
          <w:sz w:val="21"/>
          <w:lang w:val="en-GB"/>
        </w:rPr>
        <w:t xml:space="preserve">β and/or </w:t>
      </w:r>
      <w:proofErr w:type="spellStart"/>
      <w:r w:rsidRPr="001E7605">
        <w:rPr>
          <w:rFonts w:ascii="Garamond" w:eastAsia="Calibri" w:hAnsi="Garamond" w:cs="Times New Roman"/>
          <w:sz w:val="21"/>
          <w:lang w:val="en-GB"/>
        </w:rPr>
        <w:t>Lgi</w:t>
      </w:r>
      <w:proofErr w:type="spellEnd"/>
      <w:r w:rsidRPr="001E7605">
        <w:rPr>
          <w:rFonts w:ascii="Garamond" w:eastAsia="Calibri" w:hAnsi="Garamond" w:cs="Times New Roman"/>
          <w:sz w:val="21"/>
          <w:lang w:val="en-GB"/>
        </w:rPr>
        <w:t xml:space="preserve"> proteins </w:t>
      </w:r>
      <w:r w:rsidR="002808E7" w:rsidRPr="00A945AB">
        <w:rPr>
          <w:rFonts w:ascii="Garamond" w:eastAsia="Calibri" w:hAnsi="Garamond" w:cs="Times New Roman"/>
          <w:sz w:val="21"/>
          <w:lang w:val="en-GB"/>
        </w:rPr>
        <w:t xml:space="preserve">after fitting </w:t>
      </w:r>
      <w:r w:rsidRPr="00A945AB">
        <w:rPr>
          <w:rFonts w:ascii="Garamond" w:eastAsia="Calibri" w:hAnsi="Garamond" w:cs="Times New Roman"/>
          <w:sz w:val="21"/>
          <w:lang w:val="en-GB"/>
        </w:rPr>
        <w:t>a Boltzmann equation</w:t>
      </w:r>
      <w:r w:rsidR="002808E7" w:rsidRPr="00A945AB">
        <w:rPr>
          <w:rFonts w:ascii="Garamond" w:eastAsia="Calibri" w:hAnsi="Garamond" w:cs="Times New Roman"/>
          <w:sz w:val="21"/>
          <w:lang w:val="en-GB"/>
        </w:rPr>
        <w:t xml:space="preserve"> to the data</w:t>
      </w:r>
      <w:r w:rsidRPr="001E7605">
        <w:rPr>
          <w:rFonts w:ascii="Garamond" w:eastAsia="Calibri" w:hAnsi="Garamond" w:cs="Times New Roman"/>
          <w:sz w:val="21"/>
          <w:lang w:val="en-GB"/>
        </w:rPr>
        <w:t>.</w:t>
      </w:r>
    </w:p>
    <w:tbl>
      <w:tblPr>
        <w:tblStyle w:val="TableGrid1"/>
        <w:tblW w:w="8635" w:type="dxa"/>
        <w:tblLook w:val="04A0" w:firstRow="1" w:lastRow="0" w:firstColumn="1" w:lastColumn="0" w:noHBand="0" w:noVBand="1"/>
      </w:tblPr>
      <w:tblGrid>
        <w:gridCol w:w="709"/>
        <w:gridCol w:w="2274"/>
        <w:gridCol w:w="2164"/>
        <w:gridCol w:w="2049"/>
        <w:gridCol w:w="1439"/>
      </w:tblGrid>
      <w:tr w:rsidR="00FA218B" w:rsidRPr="001E7605" w14:paraId="5B1E9434" w14:textId="77777777" w:rsidTr="00047A6F">
        <w:tc>
          <w:tcPr>
            <w:tcW w:w="709" w:type="dxa"/>
            <w:tcBorders>
              <w:top w:val="nil"/>
              <w:left w:val="nil"/>
              <w:bottom w:val="double" w:sz="4" w:space="0" w:color="auto"/>
              <w:right w:val="single" w:sz="4" w:space="0" w:color="FFFFFF"/>
            </w:tcBorders>
          </w:tcPr>
          <w:p w14:paraId="17936991" w14:textId="77777777" w:rsidR="00FA218B" w:rsidRPr="001E7605" w:rsidRDefault="00FA218B" w:rsidP="00FA218B">
            <w:pPr>
              <w:spacing w:line="276" w:lineRule="auto"/>
              <w:jc w:val="center"/>
              <w:rPr>
                <w:rFonts w:ascii="Garamond" w:eastAsia="Calibri" w:hAnsi="Garamond" w:cs="Times New Roman"/>
                <w:sz w:val="22"/>
                <w:lang w:val="en-GB"/>
              </w:rPr>
            </w:pPr>
          </w:p>
        </w:tc>
        <w:tc>
          <w:tcPr>
            <w:tcW w:w="2274" w:type="dxa"/>
            <w:tcBorders>
              <w:top w:val="nil"/>
              <w:left w:val="single" w:sz="4" w:space="0" w:color="FFFFFF"/>
              <w:bottom w:val="double" w:sz="4" w:space="0" w:color="auto"/>
              <w:right w:val="single" w:sz="4" w:space="0" w:color="000000" w:themeColor="text1"/>
            </w:tcBorders>
            <w:vAlign w:val="center"/>
          </w:tcPr>
          <w:p w14:paraId="0D45910F" w14:textId="77777777" w:rsidR="00FA218B" w:rsidRPr="001E7605" w:rsidRDefault="00FA218B" w:rsidP="00FA218B">
            <w:pPr>
              <w:spacing w:line="276" w:lineRule="auto"/>
              <w:jc w:val="center"/>
              <w:rPr>
                <w:rFonts w:ascii="Garamond" w:eastAsia="Calibri" w:hAnsi="Garamond" w:cs="Times New Roman"/>
                <w:sz w:val="22"/>
                <w:lang w:val="en-GB"/>
              </w:rPr>
            </w:pPr>
          </w:p>
        </w:tc>
        <w:tc>
          <w:tcPr>
            <w:tcW w:w="2164" w:type="dxa"/>
            <w:tcBorders>
              <w:top w:val="single" w:sz="4" w:space="0" w:color="000000" w:themeColor="text1"/>
              <w:left w:val="single" w:sz="4" w:space="0" w:color="000000" w:themeColor="text1"/>
              <w:bottom w:val="double" w:sz="4" w:space="0" w:color="auto"/>
              <w:right w:val="single" w:sz="4" w:space="0" w:color="000000" w:themeColor="text1"/>
            </w:tcBorders>
            <w:shd w:val="clear" w:color="auto" w:fill="F2F2F2" w:themeFill="background1" w:themeFillShade="F2"/>
            <w:vAlign w:val="center"/>
          </w:tcPr>
          <w:p w14:paraId="40DA9476" w14:textId="7177E666" w:rsidR="00FA218B" w:rsidRPr="001E7605" w:rsidRDefault="00FA218B" w:rsidP="00FA218B">
            <w:pPr>
              <w:spacing w:line="276" w:lineRule="auto"/>
              <w:jc w:val="center"/>
              <w:rPr>
                <w:rFonts w:ascii="Garamond" w:eastAsia="Calibri" w:hAnsi="Garamond" w:cs="Times New Roman"/>
                <w:b/>
                <w:bCs/>
                <w:sz w:val="22"/>
                <w:lang w:val="en-GB"/>
              </w:rPr>
            </w:pPr>
            <w:r w:rsidRPr="001E7605">
              <w:rPr>
                <w:rFonts w:ascii="Garamond" w:eastAsia="Calibri" w:hAnsi="Garamond" w:cs="Times New Roman"/>
                <w:b/>
                <w:bCs/>
                <w:sz w:val="22"/>
                <w:lang w:val="en-GB"/>
              </w:rPr>
              <w:t>V</w:t>
            </w:r>
            <w:r w:rsidR="006C29E4" w:rsidRPr="00A945AB">
              <w:rPr>
                <w:rFonts w:ascii="Garamond" w:eastAsia="Calibri" w:hAnsi="Garamond" w:cs="Times New Roman"/>
                <w:b/>
                <w:bCs/>
                <w:sz w:val="22"/>
                <w:vertAlign w:val="subscript"/>
                <w:lang w:val="en-GB"/>
              </w:rPr>
              <w:t>1/2</w:t>
            </w:r>
            <w:r w:rsidRPr="001E7605">
              <w:rPr>
                <w:rFonts w:ascii="Garamond" w:eastAsia="Calibri" w:hAnsi="Garamond" w:cs="Times New Roman"/>
                <w:b/>
                <w:bCs/>
                <w:sz w:val="22"/>
                <w:lang w:val="en-GB"/>
              </w:rPr>
              <w:t xml:space="preserve"> (mV)</w:t>
            </w:r>
          </w:p>
        </w:tc>
        <w:tc>
          <w:tcPr>
            <w:tcW w:w="2049" w:type="dxa"/>
            <w:tcBorders>
              <w:top w:val="single" w:sz="4" w:space="0" w:color="000000" w:themeColor="text1"/>
              <w:left w:val="single" w:sz="4" w:space="0" w:color="000000" w:themeColor="text1"/>
              <w:bottom w:val="double" w:sz="4" w:space="0" w:color="auto"/>
              <w:right w:val="single" w:sz="4" w:space="0" w:color="000000" w:themeColor="text1"/>
            </w:tcBorders>
            <w:shd w:val="clear" w:color="auto" w:fill="F2F2F2" w:themeFill="background1" w:themeFillShade="F2"/>
            <w:vAlign w:val="center"/>
          </w:tcPr>
          <w:p w14:paraId="1C7E4C8F" w14:textId="77777777" w:rsidR="00FA218B" w:rsidRPr="001E7605" w:rsidRDefault="00FA218B" w:rsidP="00FA218B">
            <w:pPr>
              <w:spacing w:line="276" w:lineRule="auto"/>
              <w:jc w:val="center"/>
              <w:rPr>
                <w:rFonts w:ascii="Garamond" w:eastAsia="Calibri" w:hAnsi="Garamond" w:cs="Times New Roman"/>
                <w:b/>
                <w:bCs/>
                <w:sz w:val="22"/>
                <w:lang w:val="en-GB"/>
              </w:rPr>
            </w:pPr>
            <w:r w:rsidRPr="001E7605">
              <w:rPr>
                <w:rFonts w:ascii="Garamond" w:eastAsia="Calibri" w:hAnsi="Garamond" w:cs="Times New Roman"/>
                <w:b/>
                <w:bCs/>
                <w:sz w:val="22"/>
                <w:lang w:val="en-GB"/>
              </w:rPr>
              <w:t>s (mV)</w:t>
            </w:r>
          </w:p>
        </w:tc>
        <w:tc>
          <w:tcPr>
            <w:tcW w:w="1439" w:type="dxa"/>
            <w:tcBorders>
              <w:top w:val="single" w:sz="4" w:space="0" w:color="000000" w:themeColor="text1"/>
              <w:left w:val="single" w:sz="4" w:space="0" w:color="000000" w:themeColor="text1"/>
              <w:bottom w:val="double" w:sz="4" w:space="0" w:color="auto"/>
              <w:right w:val="single" w:sz="4" w:space="0" w:color="000000" w:themeColor="text1"/>
            </w:tcBorders>
            <w:shd w:val="clear" w:color="auto" w:fill="F2F2F2" w:themeFill="background1" w:themeFillShade="F2"/>
          </w:tcPr>
          <w:p w14:paraId="344BCDAF" w14:textId="77777777" w:rsidR="00FA218B" w:rsidRPr="001E7605" w:rsidRDefault="00FA218B" w:rsidP="00FA218B">
            <w:pPr>
              <w:spacing w:line="276" w:lineRule="auto"/>
              <w:jc w:val="center"/>
              <w:rPr>
                <w:rFonts w:ascii="Garamond" w:eastAsia="Calibri" w:hAnsi="Garamond" w:cs="Times New Roman"/>
                <w:b/>
                <w:bCs/>
                <w:sz w:val="22"/>
                <w:lang w:val="en-GB"/>
              </w:rPr>
            </w:pPr>
            <w:r w:rsidRPr="001E7605">
              <w:rPr>
                <w:rFonts w:ascii="Garamond" w:eastAsia="Calibri" w:hAnsi="Garamond" w:cs="Times New Roman"/>
                <w:b/>
                <w:bCs/>
                <w:sz w:val="22"/>
                <w:lang w:val="en-GB"/>
              </w:rPr>
              <w:t>n</w:t>
            </w:r>
          </w:p>
        </w:tc>
      </w:tr>
      <w:tr w:rsidR="00FA218B" w:rsidRPr="001E7605" w14:paraId="4F64EEA9" w14:textId="77777777" w:rsidTr="00047A6F">
        <w:tc>
          <w:tcPr>
            <w:tcW w:w="709" w:type="dxa"/>
            <w:vMerge w:val="restart"/>
            <w:tcBorders>
              <w:top w:val="double" w:sz="4" w:space="0" w:color="auto"/>
              <w:left w:val="single" w:sz="4" w:space="0" w:color="000000" w:themeColor="text1"/>
              <w:right w:val="single" w:sz="4" w:space="0" w:color="000000" w:themeColor="text1"/>
            </w:tcBorders>
            <w:shd w:val="clear" w:color="auto" w:fill="F2F2F2" w:themeFill="background1" w:themeFillShade="F2"/>
            <w:textDirection w:val="btLr"/>
          </w:tcPr>
          <w:p w14:paraId="3F2882BB" w14:textId="77777777" w:rsidR="00FA218B" w:rsidRPr="001E7605" w:rsidRDefault="00FA218B" w:rsidP="00FA218B">
            <w:pPr>
              <w:spacing w:line="276" w:lineRule="auto"/>
              <w:ind w:left="113" w:right="113"/>
              <w:jc w:val="center"/>
              <w:rPr>
                <w:rFonts w:ascii="Garamond" w:eastAsia="Calibri" w:hAnsi="Garamond" w:cs="Times New Roman"/>
                <w:sz w:val="22"/>
                <w:lang w:val="en-GB"/>
              </w:rPr>
            </w:pPr>
            <w:proofErr w:type="spellStart"/>
            <w:r w:rsidRPr="001E7605">
              <w:rPr>
                <w:rFonts w:ascii="Garamond" w:eastAsia="Calibri" w:hAnsi="Garamond" w:cs="Times New Roman"/>
                <w:sz w:val="22"/>
                <w:lang w:val="en-GB"/>
              </w:rPr>
              <w:t>Prepulse</w:t>
            </w:r>
            <w:proofErr w:type="spellEnd"/>
            <w:r w:rsidRPr="001E7605">
              <w:rPr>
                <w:rFonts w:ascii="Garamond" w:eastAsia="Calibri" w:hAnsi="Garamond" w:cs="Times New Roman"/>
                <w:sz w:val="22"/>
                <w:lang w:val="en-GB"/>
              </w:rPr>
              <w:t xml:space="preserve"> 250 </w:t>
            </w:r>
            <w:proofErr w:type="spellStart"/>
            <w:r w:rsidRPr="001E7605">
              <w:rPr>
                <w:rFonts w:ascii="Garamond" w:eastAsia="Calibri" w:hAnsi="Garamond" w:cs="Times New Roman"/>
                <w:sz w:val="22"/>
                <w:lang w:val="en-GB"/>
              </w:rPr>
              <w:t>ms</w:t>
            </w:r>
            <w:proofErr w:type="spellEnd"/>
          </w:p>
        </w:tc>
        <w:tc>
          <w:tcPr>
            <w:tcW w:w="2274" w:type="dxa"/>
            <w:tcBorders>
              <w:top w:val="double" w:sz="4" w:space="0" w:color="auto"/>
              <w:left w:val="single" w:sz="4" w:space="0" w:color="000000" w:themeColor="text1"/>
              <w:bottom w:val="nil"/>
              <w:right w:val="single" w:sz="4" w:space="0" w:color="000000" w:themeColor="text1"/>
            </w:tcBorders>
            <w:vAlign w:val="center"/>
          </w:tcPr>
          <w:p w14:paraId="102C12BC"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β2.1</w:t>
            </w:r>
          </w:p>
        </w:tc>
        <w:tc>
          <w:tcPr>
            <w:tcW w:w="2164" w:type="dxa"/>
            <w:tcBorders>
              <w:top w:val="double" w:sz="4" w:space="0" w:color="auto"/>
              <w:left w:val="single" w:sz="4" w:space="0" w:color="000000" w:themeColor="text1"/>
              <w:bottom w:val="nil"/>
              <w:right w:val="single" w:sz="4" w:space="0" w:color="000000" w:themeColor="text1"/>
            </w:tcBorders>
            <w:vAlign w:val="center"/>
          </w:tcPr>
          <w:p w14:paraId="05D75EC3"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-10.8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1.6</w:t>
            </w:r>
          </w:p>
        </w:tc>
        <w:tc>
          <w:tcPr>
            <w:tcW w:w="2049" w:type="dxa"/>
            <w:tcBorders>
              <w:top w:val="double" w:sz="4" w:space="0" w:color="auto"/>
              <w:left w:val="single" w:sz="4" w:space="0" w:color="000000" w:themeColor="text1"/>
              <w:bottom w:val="nil"/>
              <w:right w:val="single" w:sz="4" w:space="0" w:color="000000" w:themeColor="text1"/>
            </w:tcBorders>
            <w:vAlign w:val="center"/>
          </w:tcPr>
          <w:p w14:paraId="325B159D"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6.2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0.7</w:t>
            </w:r>
          </w:p>
        </w:tc>
        <w:tc>
          <w:tcPr>
            <w:tcW w:w="1439" w:type="dxa"/>
            <w:tcBorders>
              <w:top w:val="double" w:sz="4" w:space="0" w:color="auto"/>
              <w:left w:val="single" w:sz="4" w:space="0" w:color="000000" w:themeColor="text1"/>
              <w:bottom w:val="nil"/>
              <w:right w:val="single" w:sz="4" w:space="0" w:color="000000" w:themeColor="text1"/>
            </w:tcBorders>
          </w:tcPr>
          <w:p w14:paraId="6B58F968"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10</w:t>
            </w:r>
          </w:p>
        </w:tc>
      </w:tr>
      <w:tr w:rsidR="00FA218B" w:rsidRPr="001E7605" w14:paraId="164C6361" w14:textId="77777777" w:rsidTr="00047A6F">
        <w:tc>
          <w:tcPr>
            <w:tcW w:w="709" w:type="dxa"/>
            <w:vMerge/>
            <w:tcBorders>
              <w:left w:val="single" w:sz="4" w:space="0" w:color="000000" w:themeColor="text1"/>
              <w:right w:val="single" w:sz="4" w:space="0" w:color="000000" w:themeColor="text1"/>
            </w:tcBorders>
            <w:shd w:val="clear" w:color="auto" w:fill="F2F2F2" w:themeFill="background1" w:themeFillShade="F2"/>
          </w:tcPr>
          <w:p w14:paraId="6E24A82D" w14:textId="77777777" w:rsidR="00FA218B" w:rsidRPr="001E7605" w:rsidRDefault="00FA218B" w:rsidP="00FA218B">
            <w:pPr>
              <w:spacing w:line="276" w:lineRule="auto"/>
              <w:jc w:val="center"/>
              <w:rPr>
                <w:rFonts w:ascii="Garamond" w:eastAsia="Calibri" w:hAnsi="Garamond" w:cs="Times New Roman"/>
                <w:sz w:val="22"/>
                <w:lang w:val="en-GB"/>
              </w:rPr>
            </w:pPr>
          </w:p>
        </w:tc>
        <w:tc>
          <w:tcPr>
            <w:tcW w:w="2274" w:type="dxa"/>
            <w:tcBorders>
              <w:top w:val="nil"/>
              <w:left w:val="single" w:sz="4" w:space="0" w:color="000000" w:themeColor="text1"/>
              <w:bottom w:val="nil"/>
              <w:right w:val="single" w:sz="4" w:space="0" w:color="000000" w:themeColor="text1"/>
            </w:tcBorders>
            <w:vAlign w:val="center"/>
          </w:tcPr>
          <w:p w14:paraId="0F54BDF0"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β2.1 + Lgi3</w:t>
            </w:r>
          </w:p>
        </w:tc>
        <w:tc>
          <w:tcPr>
            <w:tcW w:w="2164" w:type="dxa"/>
            <w:tcBorders>
              <w:top w:val="nil"/>
              <w:left w:val="single" w:sz="4" w:space="0" w:color="000000" w:themeColor="text1"/>
              <w:bottom w:val="nil"/>
              <w:right w:val="single" w:sz="4" w:space="0" w:color="000000" w:themeColor="text1"/>
            </w:tcBorders>
            <w:vAlign w:val="center"/>
          </w:tcPr>
          <w:p w14:paraId="41074FC4"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-7.5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2.9</w:t>
            </w:r>
          </w:p>
        </w:tc>
        <w:tc>
          <w:tcPr>
            <w:tcW w:w="2049" w:type="dxa"/>
            <w:tcBorders>
              <w:top w:val="nil"/>
              <w:left w:val="single" w:sz="4" w:space="0" w:color="000000" w:themeColor="text1"/>
              <w:bottom w:val="nil"/>
              <w:right w:val="single" w:sz="4" w:space="0" w:color="000000" w:themeColor="text1"/>
            </w:tcBorders>
            <w:vAlign w:val="center"/>
          </w:tcPr>
          <w:p w14:paraId="508BF927"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8.8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1.4</w:t>
            </w:r>
          </w:p>
        </w:tc>
        <w:tc>
          <w:tcPr>
            <w:tcW w:w="1439" w:type="dxa"/>
            <w:tcBorders>
              <w:top w:val="nil"/>
              <w:left w:val="single" w:sz="4" w:space="0" w:color="000000" w:themeColor="text1"/>
              <w:bottom w:val="nil"/>
              <w:right w:val="single" w:sz="4" w:space="0" w:color="000000" w:themeColor="text1"/>
            </w:tcBorders>
          </w:tcPr>
          <w:p w14:paraId="24E23D0A"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5</w:t>
            </w:r>
          </w:p>
        </w:tc>
      </w:tr>
      <w:tr w:rsidR="00FA218B" w:rsidRPr="001E7605" w14:paraId="318795F7" w14:textId="77777777" w:rsidTr="00047A6F">
        <w:tc>
          <w:tcPr>
            <w:tcW w:w="709" w:type="dxa"/>
            <w:vMerge/>
            <w:tcBorders>
              <w:left w:val="single" w:sz="4" w:space="0" w:color="000000" w:themeColor="text1"/>
              <w:right w:val="single" w:sz="4" w:space="0" w:color="000000" w:themeColor="text1"/>
            </w:tcBorders>
            <w:shd w:val="clear" w:color="auto" w:fill="F2F2F2" w:themeFill="background1" w:themeFillShade="F2"/>
          </w:tcPr>
          <w:p w14:paraId="0B8D434D" w14:textId="77777777" w:rsidR="00FA218B" w:rsidRPr="001E7605" w:rsidRDefault="00FA218B" w:rsidP="00FA218B">
            <w:pPr>
              <w:spacing w:line="276" w:lineRule="auto"/>
              <w:jc w:val="center"/>
              <w:rPr>
                <w:rFonts w:ascii="Garamond" w:eastAsia="Calibri" w:hAnsi="Garamond" w:cs="Times New Roman"/>
                <w:sz w:val="22"/>
                <w:lang w:val="en-GB"/>
              </w:rPr>
            </w:pPr>
          </w:p>
        </w:tc>
        <w:tc>
          <w:tcPr>
            <w:tcW w:w="2274" w:type="dxa"/>
            <w:tcBorders>
              <w:top w:val="nil"/>
              <w:left w:val="single" w:sz="4" w:space="0" w:color="000000" w:themeColor="text1"/>
              <w:bottom w:val="single" w:sz="4" w:space="0" w:color="000000" w:themeColor="text1"/>
              <w:right w:val="single" w:sz="4" w:space="0" w:color="000000" w:themeColor="text1"/>
            </w:tcBorders>
            <w:vAlign w:val="center"/>
          </w:tcPr>
          <w:p w14:paraId="455BAA41"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β2.1 + Lgi4</w:t>
            </w:r>
          </w:p>
        </w:tc>
        <w:tc>
          <w:tcPr>
            <w:tcW w:w="2164" w:type="dxa"/>
            <w:tcBorders>
              <w:top w:val="nil"/>
              <w:left w:val="single" w:sz="4" w:space="0" w:color="000000" w:themeColor="text1"/>
              <w:bottom w:val="single" w:sz="4" w:space="0" w:color="000000" w:themeColor="text1"/>
              <w:right w:val="single" w:sz="4" w:space="0" w:color="000000" w:themeColor="text1"/>
            </w:tcBorders>
            <w:vAlign w:val="center"/>
          </w:tcPr>
          <w:p w14:paraId="689F4BD0"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-11.4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1.7</w:t>
            </w:r>
          </w:p>
        </w:tc>
        <w:tc>
          <w:tcPr>
            <w:tcW w:w="2049" w:type="dxa"/>
            <w:tcBorders>
              <w:top w:val="nil"/>
              <w:left w:val="single" w:sz="4" w:space="0" w:color="000000" w:themeColor="text1"/>
              <w:bottom w:val="single" w:sz="4" w:space="0" w:color="000000" w:themeColor="text1"/>
              <w:right w:val="single" w:sz="4" w:space="0" w:color="000000" w:themeColor="text1"/>
            </w:tcBorders>
            <w:vAlign w:val="center"/>
          </w:tcPr>
          <w:p w14:paraId="422C605A"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7.0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1.0</w:t>
            </w:r>
          </w:p>
        </w:tc>
        <w:tc>
          <w:tcPr>
            <w:tcW w:w="1439" w:type="dxa"/>
            <w:tcBorders>
              <w:top w:val="nil"/>
              <w:left w:val="single" w:sz="4" w:space="0" w:color="000000" w:themeColor="text1"/>
              <w:bottom w:val="single" w:sz="4" w:space="0" w:color="000000" w:themeColor="text1"/>
              <w:right w:val="single" w:sz="4" w:space="0" w:color="000000" w:themeColor="text1"/>
            </w:tcBorders>
          </w:tcPr>
          <w:p w14:paraId="3B7924DA"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5</w:t>
            </w:r>
          </w:p>
        </w:tc>
      </w:tr>
      <w:tr w:rsidR="00FA218B" w:rsidRPr="001E7605" w14:paraId="25C283CB" w14:textId="77777777" w:rsidTr="00047A6F">
        <w:tc>
          <w:tcPr>
            <w:tcW w:w="709" w:type="dxa"/>
            <w:vMerge w:val="restart"/>
            <w:tcBorders>
              <w:top w:val="single" w:sz="4" w:space="0" w:color="A53D47"/>
              <w:left w:val="single" w:sz="4" w:space="0" w:color="000000" w:themeColor="text1"/>
              <w:right w:val="single" w:sz="4" w:space="0" w:color="000000" w:themeColor="text1"/>
            </w:tcBorders>
            <w:shd w:val="clear" w:color="auto" w:fill="F2F2F2" w:themeFill="background1" w:themeFillShade="F2"/>
            <w:textDirection w:val="btLr"/>
          </w:tcPr>
          <w:p w14:paraId="3990E53F" w14:textId="77777777" w:rsidR="00FA218B" w:rsidRPr="001E7605" w:rsidRDefault="00FA218B" w:rsidP="00FA218B">
            <w:pPr>
              <w:spacing w:line="276" w:lineRule="auto"/>
              <w:ind w:left="113" w:right="113"/>
              <w:jc w:val="center"/>
              <w:rPr>
                <w:rFonts w:ascii="Garamond" w:eastAsia="Calibri" w:hAnsi="Garamond" w:cs="Times New Roman"/>
                <w:sz w:val="22"/>
                <w:lang w:val="en-GB"/>
              </w:rPr>
            </w:pPr>
            <w:proofErr w:type="spellStart"/>
            <w:r w:rsidRPr="001E7605">
              <w:rPr>
                <w:rFonts w:ascii="Garamond" w:eastAsia="Calibri" w:hAnsi="Garamond" w:cs="Times New Roman"/>
                <w:sz w:val="22"/>
                <w:lang w:val="en-GB"/>
              </w:rPr>
              <w:lastRenderedPageBreak/>
              <w:t>Prepulse</w:t>
            </w:r>
            <w:proofErr w:type="spellEnd"/>
            <w:r w:rsidRPr="001E7605">
              <w:rPr>
                <w:rFonts w:ascii="Garamond" w:eastAsia="Calibri" w:hAnsi="Garamond" w:cs="Times New Roman"/>
                <w:sz w:val="22"/>
                <w:lang w:val="en-GB"/>
              </w:rPr>
              <w:t xml:space="preserve"> 10 </w:t>
            </w:r>
            <w:proofErr w:type="spellStart"/>
            <w:r w:rsidRPr="001E7605">
              <w:rPr>
                <w:rFonts w:ascii="Garamond" w:eastAsia="Calibri" w:hAnsi="Garamond" w:cs="Times New Roman"/>
                <w:sz w:val="22"/>
                <w:lang w:val="en-GB"/>
              </w:rPr>
              <w:t>ms</w:t>
            </w:r>
            <w:proofErr w:type="spellEnd"/>
          </w:p>
        </w:tc>
        <w:tc>
          <w:tcPr>
            <w:tcW w:w="2274" w:type="dxa"/>
            <w:tcBorders>
              <w:top w:val="single" w:sz="4" w:space="0" w:color="000000" w:themeColor="text1"/>
              <w:left w:val="single" w:sz="4" w:space="0" w:color="000000" w:themeColor="text1"/>
              <w:bottom w:val="nil"/>
              <w:right w:val="single" w:sz="4" w:space="0" w:color="000000" w:themeColor="text1"/>
            </w:tcBorders>
            <w:vAlign w:val="center"/>
          </w:tcPr>
          <w:p w14:paraId="06B7646D"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β1.3</w:t>
            </w:r>
          </w:p>
        </w:tc>
        <w:tc>
          <w:tcPr>
            <w:tcW w:w="2164" w:type="dxa"/>
            <w:tcBorders>
              <w:top w:val="single" w:sz="4" w:space="0" w:color="000000" w:themeColor="text1"/>
              <w:left w:val="single" w:sz="4" w:space="0" w:color="000000" w:themeColor="text1"/>
              <w:bottom w:val="nil"/>
              <w:right w:val="single" w:sz="4" w:space="0" w:color="000000" w:themeColor="text1"/>
            </w:tcBorders>
            <w:vAlign w:val="center"/>
          </w:tcPr>
          <w:p w14:paraId="44946876"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-6.8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1.6</w:t>
            </w:r>
          </w:p>
        </w:tc>
        <w:tc>
          <w:tcPr>
            <w:tcW w:w="2049" w:type="dxa"/>
            <w:tcBorders>
              <w:top w:val="single" w:sz="4" w:space="0" w:color="000000" w:themeColor="text1"/>
              <w:left w:val="single" w:sz="4" w:space="0" w:color="000000" w:themeColor="text1"/>
              <w:bottom w:val="nil"/>
              <w:right w:val="single" w:sz="4" w:space="0" w:color="000000" w:themeColor="text1"/>
            </w:tcBorders>
            <w:vAlign w:val="center"/>
          </w:tcPr>
          <w:p w14:paraId="0C785FEC"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7.0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0.6</w:t>
            </w:r>
          </w:p>
        </w:tc>
        <w:tc>
          <w:tcPr>
            <w:tcW w:w="1439" w:type="dxa"/>
            <w:tcBorders>
              <w:top w:val="single" w:sz="4" w:space="0" w:color="000000" w:themeColor="text1"/>
              <w:left w:val="single" w:sz="4" w:space="0" w:color="000000" w:themeColor="text1"/>
              <w:bottom w:val="nil"/>
              <w:right w:val="single" w:sz="4" w:space="0" w:color="000000" w:themeColor="text1"/>
            </w:tcBorders>
          </w:tcPr>
          <w:p w14:paraId="0104872D"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10</w:t>
            </w:r>
          </w:p>
        </w:tc>
      </w:tr>
      <w:tr w:rsidR="00FA218B" w:rsidRPr="001E7605" w14:paraId="45FF8F0B" w14:textId="77777777" w:rsidTr="00047A6F">
        <w:tc>
          <w:tcPr>
            <w:tcW w:w="709" w:type="dxa"/>
            <w:vMerge/>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246D04D" w14:textId="77777777" w:rsidR="00FA218B" w:rsidRPr="001E7605" w:rsidRDefault="00FA218B" w:rsidP="00FA218B">
            <w:pPr>
              <w:spacing w:line="276" w:lineRule="auto"/>
              <w:jc w:val="center"/>
              <w:rPr>
                <w:rFonts w:ascii="Garamond" w:eastAsia="Calibri" w:hAnsi="Garamond" w:cs="Times New Roman"/>
                <w:sz w:val="22"/>
                <w:lang w:val="en-GB"/>
              </w:rPr>
            </w:pPr>
          </w:p>
        </w:tc>
        <w:tc>
          <w:tcPr>
            <w:tcW w:w="2274" w:type="dxa"/>
            <w:tcBorders>
              <w:top w:val="nil"/>
              <w:left w:val="single" w:sz="4" w:space="0" w:color="000000" w:themeColor="text1"/>
              <w:bottom w:val="single" w:sz="4" w:space="0" w:color="FFFFFF" w:themeColor="background1"/>
              <w:right w:val="single" w:sz="4" w:space="0" w:color="000000" w:themeColor="text1"/>
            </w:tcBorders>
            <w:vAlign w:val="center"/>
          </w:tcPr>
          <w:p w14:paraId="61B1D8E0"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β1.3 + Lgi3</w:t>
            </w:r>
          </w:p>
        </w:tc>
        <w:tc>
          <w:tcPr>
            <w:tcW w:w="2164" w:type="dxa"/>
            <w:tcBorders>
              <w:top w:val="nil"/>
              <w:left w:val="single" w:sz="4" w:space="0" w:color="000000" w:themeColor="text1"/>
              <w:bottom w:val="single" w:sz="4" w:space="0" w:color="FFFFFF" w:themeColor="background1"/>
              <w:right w:val="single" w:sz="4" w:space="0" w:color="000000" w:themeColor="text1"/>
            </w:tcBorders>
            <w:vAlign w:val="center"/>
          </w:tcPr>
          <w:p w14:paraId="7ED9E2B9"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-9.3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2.5</w:t>
            </w:r>
          </w:p>
        </w:tc>
        <w:tc>
          <w:tcPr>
            <w:tcW w:w="2049" w:type="dxa"/>
            <w:tcBorders>
              <w:top w:val="nil"/>
              <w:left w:val="single" w:sz="4" w:space="0" w:color="000000" w:themeColor="text1"/>
              <w:bottom w:val="single" w:sz="4" w:space="0" w:color="FFFFFF" w:themeColor="background1"/>
              <w:right w:val="single" w:sz="4" w:space="0" w:color="000000" w:themeColor="text1"/>
            </w:tcBorders>
            <w:vAlign w:val="center"/>
          </w:tcPr>
          <w:p w14:paraId="07DBD789"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5.5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0.8 *</w:t>
            </w:r>
          </w:p>
        </w:tc>
        <w:tc>
          <w:tcPr>
            <w:tcW w:w="1439" w:type="dxa"/>
            <w:tcBorders>
              <w:top w:val="nil"/>
              <w:left w:val="single" w:sz="4" w:space="0" w:color="000000" w:themeColor="text1"/>
              <w:bottom w:val="single" w:sz="4" w:space="0" w:color="FFFFFF" w:themeColor="background1"/>
              <w:right w:val="single" w:sz="4" w:space="0" w:color="000000" w:themeColor="text1"/>
            </w:tcBorders>
          </w:tcPr>
          <w:p w14:paraId="17E84DDB"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4</w:t>
            </w:r>
          </w:p>
        </w:tc>
      </w:tr>
      <w:tr w:rsidR="00FA218B" w:rsidRPr="001E7605" w14:paraId="62410A2F" w14:textId="77777777" w:rsidTr="00047A6F">
        <w:tc>
          <w:tcPr>
            <w:tcW w:w="709" w:type="dxa"/>
            <w:vMerge/>
            <w:tcBorders>
              <w:top w:val="single" w:sz="4" w:space="0" w:color="000000" w:themeColor="text1"/>
              <w:left w:val="single" w:sz="4" w:space="0" w:color="000000" w:themeColor="text1"/>
              <w:right w:val="single" w:sz="4" w:space="0" w:color="000000" w:themeColor="text1"/>
            </w:tcBorders>
            <w:shd w:val="clear" w:color="auto" w:fill="F2F2F2" w:themeFill="background1" w:themeFillShade="F2"/>
          </w:tcPr>
          <w:p w14:paraId="781F7395" w14:textId="77777777" w:rsidR="00FA218B" w:rsidRPr="001E7605" w:rsidRDefault="00FA218B" w:rsidP="00FA218B">
            <w:pPr>
              <w:spacing w:line="276" w:lineRule="auto"/>
              <w:jc w:val="center"/>
              <w:rPr>
                <w:rFonts w:ascii="Garamond" w:eastAsia="Calibri" w:hAnsi="Garamond" w:cs="Times New Roman"/>
                <w:sz w:val="22"/>
                <w:lang w:val="en-GB"/>
              </w:rPr>
            </w:pPr>
          </w:p>
        </w:tc>
        <w:tc>
          <w:tcPr>
            <w:tcW w:w="2274" w:type="dxa"/>
            <w:tcBorders>
              <w:top w:val="single" w:sz="4" w:space="0" w:color="FFFFFF" w:themeColor="background1"/>
              <w:left w:val="single" w:sz="4" w:space="0" w:color="000000" w:themeColor="text1"/>
              <w:bottom w:val="single" w:sz="4" w:space="0" w:color="A53D47"/>
              <w:right w:val="single" w:sz="4" w:space="0" w:color="000000" w:themeColor="text1"/>
            </w:tcBorders>
            <w:vAlign w:val="center"/>
          </w:tcPr>
          <w:p w14:paraId="69A20C1E"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β1.3 + Lgi4</w:t>
            </w:r>
          </w:p>
        </w:tc>
        <w:tc>
          <w:tcPr>
            <w:tcW w:w="2164" w:type="dxa"/>
            <w:tcBorders>
              <w:top w:val="single" w:sz="4" w:space="0" w:color="FFFFFF" w:themeColor="background1"/>
              <w:left w:val="single" w:sz="4" w:space="0" w:color="000000" w:themeColor="text1"/>
              <w:bottom w:val="single" w:sz="4" w:space="0" w:color="A53D47"/>
              <w:right w:val="single" w:sz="4" w:space="0" w:color="000000" w:themeColor="text1"/>
            </w:tcBorders>
            <w:vAlign w:val="center"/>
          </w:tcPr>
          <w:p w14:paraId="08B7D7CF"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-12.8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0.8*</w:t>
            </w:r>
          </w:p>
        </w:tc>
        <w:tc>
          <w:tcPr>
            <w:tcW w:w="2049" w:type="dxa"/>
            <w:tcBorders>
              <w:top w:val="single" w:sz="4" w:space="0" w:color="FFFFFF" w:themeColor="background1"/>
              <w:left w:val="single" w:sz="4" w:space="0" w:color="000000" w:themeColor="text1"/>
              <w:bottom w:val="single" w:sz="4" w:space="0" w:color="A53D47"/>
              <w:right w:val="single" w:sz="4" w:space="0" w:color="000000" w:themeColor="text1"/>
            </w:tcBorders>
            <w:vAlign w:val="center"/>
          </w:tcPr>
          <w:p w14:paraId="0FDECBD0"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5.2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1.0</w:t>
            </w:r>
          </w:p>
        </w:tc>
        <w:tc>
          <w:tcPr>
            <w:tcW w:w="1439" w:type="dxa"/>
            <w:tcBorders>
              <w:top w:val="single" w:sz="4" w:space="0" w:color="FFFFFF" w:themeColor="background1"/>
              <w:left w:val="single" w:sz="4" w:space="0" w:color="000000" w:themeColor="text1"/>
              <w:bottom w:val="single" w:sz="4" w:space="0" w:color="A53D47"/>
              <w:right w:val="single" w:sz="4" w:space="0" w:color="000000" w:themeColor="text1"/>
            </w:tcBorders>
          </w:tcPr>
          <w:p w14:paraId="713D9319"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8</w:t>
            </w:r>
          </w:p>
        </w:tc>
      </w:tr>
      <w:tr w:rsidR="00FA218B" w:rsidRPr="001E7605" w14:paraId="7E6B3BDB" w14:textId="77777777" w:rsidTr="00047A6F">
        <w:tc>
          <w:tcPr>
            <w:tcW w:w="709" w:type="dxa"/>
            <w:vMerge/>
            <w:tcBorders>
              <w:left w:val="single" w:sz="4" w:space="0" w:color="000000" w:themeColor="text1"/>
              <w:right w:val="single" w:sz="4" w:space="0" w:color="000000" w:themeColor="text1"/>
            </w:tcBorders>
            <w:shd w:val="clear" w:color="auto" w:fill="F2F2F2" w:themeFill="background1" w:themeFillShade="F2"/>
          </w:tcPr>
          <w:p w14:paraId="7430A0B0" w14:textId="77777777" w:rsidR="00FA218B" w:rsidRPr="001E7605" w:rsidRDefault="00FA218B" w:rsidP="00FA218B">
            <w:pPr>
              <w:spacing w:line="276" w:lineRule="auto"/>
              <w:jc w:val="center"/>
              <w:rPr>
                <w:rFonts w:ascii="Garamond" w:eastAsia="Calibri" w:hAnsi="Garamond" w:cs="Times New Roman"/>
                <w:sz w:val="22"/>
                <w:lang w:val="en-GB"/>
              </w:rPr>
            </w:pPr>
          </w:p>
        </w:tc>
        <w:tc>
          <w:tcPr>
            <w:tcW w:w="2274" w:type="dxa"/>
            <w:tcBorders>
              <w:top w:val="single" w:sz="4" w:space="0" w:color="000000" w:themeColor="text1"/>
              <w:left w:val="single" w:sz="4" w:space="0" w:color="000000" w:themeColor="text1"/>
              <w:bottom w:val="nil"/>
              <w:right w:val="single" w:sz="4" w:space="0" w:color="000000" w:themeColor="text1"/>
            </w:tcBorders>
            <w:vAlign w:val="center"/>
          </w:tcPr>
          <w:p w14:paraId="08916432"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β1.2</w:t>
            </w:r>
          </w:p>
        </w:tc>
        <w:tc>
          <w:tcPr>
            <w:tcW w:w="2164" w:type="dxa"/>
            <w:tcBorders>
              <w:top w:val="single" w:sz="4" w:space="0" w:color="000000" w:themeColor="text1"/>
              <w:left w:val="single" w:sz="4" w:space="0" w:color="000000" w:themeColor="text1"/>
              <w:bottom w:val="nil"/>
              <w:right w:val="single" w:sz="4" w:space="0" w:color="000000" w:themeColor="text1"/>
            </w:tcBorders>
            <w:vAlign w:val="center"/>
          </w:tcPr>
          <w:p w14:paraId="4CBD8723"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-3.7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1.5</w:t>
            </w:r>
          </w:p>
        </w:tc>
        <w:tc>
          <w:tcPr>
            <w:tcW w:w="2049" w:type="dxa"/>
            <w:tcBorders>
              <w:top w:val="single" w:sz="4" w:space="0" w:color="000000" w:themeColor="text1"/>
              <w:left w:val="single" w:sz="4" w:space="0" w:color="000000" w:themeColor="text1"/>
              <w:bottom w:val="nil"/>
              <w:right w:val="single" w:sz="4" w:space="0" w:color="000000" w:themeColor="text1"/>
            </w:tcBorders>
            <w:vAlign w:val="center"/>
          </w:tcPr>
          <w:p w14:paraId="1DF633AA"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5.4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0.4</w:t>
            </w:r>
          </w:p>
        </w:tc>
        <w:tc>
          <w:tcPr>
            <w:tcW w:w="1439" w:type="dxa"/>
            <w:tcBorders>
              <w:top w:val="single" w:sz="4" w:space="0" w:color="000000" w:themeColor="text1"/>
              <w:left w:val="single" w:sz="4" w:space="0" w:color="000000" w:themeColor="text1"/>
              <w:bottom w:val="nil"/>
              <w:right w:val="single" w:sz="4" w:space="0" w:color="000000" w:themeColor="text1"/>
            </w:tcBorders>
          </w:tcPr>
          <w:p w14:paraId="0928D475"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9</w:t>
            </w:r>
          </w:p>
        </w:tc>
      </w:tr>
      <w:tr w:rsidR="00FA218B" w:rsidRPr="001E7605" w14:paraId="022716D7" w14:textId="77777777" w:rsidTr="00047A6F">
        <w:tc>
          <w:tcPr>
            <w:tcW w:w="709" w:type="dxa"/>
            <w:vMerge/>
            <w:tcBorders>
              <w:left w:val="single" w:sz="4" w:space="0" w:color="000000" w:themeColor="text1"/>
              <w:right w:val="single" w:sz="4" w:space="0" w:color="000000" w:themeColor="text1"/>
            </w:tcBorders>
            <w:shd w:val="clear" w:color="auto" w:fill="F2F2F2" w:themeFill="background1" w:themeFillShade="F2"/>
          </w:tcPr>
          <w:p w14:paraId="72E438F7" w14:textId="77777777" w:rsidR="00FA218B" w:rsidRPr="001E7605" w:rsidRDefault="00FA218B" w:rsidP="00FA218B">
            <w:pPr>
              <w:spacing w:line="276" w:lineRule="auto"/>
              <w:jc w:val="center"/>
              <w:rPr>
                <w:rFonts w:ascii="Garamond" w:eastAsia="Calibri" w:hAnsi="Garamond" w:cs="Times New Roman"/>
                <w:sz w:val="22"/>
                <w:lang w:val="en-GB"/>
              </w:rPr>
            </w:pPr>
          </w:p>
        </w:tc>
        <w:tc>
          <w:tcPr>
            <w:tcW w:w="2274" w:type="dxa"/>
            <w:tcBorders>
              <w:top w:val="nil"/>
              <w:left w:val="single" w:sz="4" w:space="0" w:color="000000" w:themeColor="text1"/>
              <w:bottom w:val="nil"/>
              <w:right w:val="single" w:sz="4" w:space="0" w:color="000000" w:themeColor="text1"/>
            </w:tcBorders>
            <w:vAlign w:val="center"/>
          </w:tcPr>
          <w:p w14:paraId="386A580A"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β1.2 + Lgi3</w:t>
            </w:r>
          </w:p>
        </w:tc>
        <w:tc>
          <w:tcPr>
            <w:tcW w:w="2164" w:type="dxa"/>
            <w:tcBorders>
              <w:top w:val="nil"/>
              <w:left w:val="single" w:sz="4" w:space="0" w:color="000000" w:themeColor="text1"/>
              <w:bottom w:val="nil"/>
              <w:right w:val="single" w:sz="4" w:space="0" w:color="000000" w:themeColor="text1"/>
            </w:tcBorders>
            <w:vAlign w:val="center"/>
          </w:tcPr>
          <w:p w14:paraId="62C0384B"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-3.1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1.4</w:t>
            </w:r>
          </w:p>
        </w:tc>
        <w:tc>
          <w:tcPr>
            <w:tcW w:w="2049" w:type="dxa"/>
            <w:tcBorders>
              <w:top w:val="nil"/>
              <w:left w:val="single" w:sz="4" w:space="0" w:color="000000" w:themeColor="text1"/>
              <w:bottom w:val="nil"/>
              <w:right w:val="single" w:sz="4" w:space="0" w:color="000000" w:themeColor="text1"/>
            </w:tcBorders>
            <w:vAlign w:val="center"/>
          </w:tcPr>
          <w:p w14:paraId="033C8C16"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4.0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1.0</w:t>
            </w:r>
          </w:p>
        </w:tc>
        <w:tc>
          <w:tcPr>
            <w:tcW w:w="1439" w:type="dxa"/>
            <w:tcBorders>
              <w:top w:val="nil"/>
              <w:left w:val="single" w:sz="4" w:space="0" w:color="000000" w:themeColor="text1"/>
              <w:bottom w:val="nil"/>
              <w:right w:val="single" w:sz="4" w:space="0" w:color="000000" w:themeColor="text1"/>
            </w:tcBorders>
          </w:tcPr>
          <w:p w14:paraId="44D6DE9D"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5</w:t>
            </w:r>
          </w:p>
        </w:tc>
      </w:tr>
      <w:tr w:rsidR="00FA218B" w:rsidRPr="001E7605" w14:paraId="5902FF8C" w14:textId="77777777" w:rsidTr="00047A6F">
        <w:tc>
          <w:tcPr>
            <w:tcW w:w="709" w:type="dxa"/>
            <w:vMerge/>
            <w:tcBorders>
              <w:left w:val="single" w:sz="4" w:space="0" w:color="000000" w:themeColor="text1"/>
              <w:bottom w:val="single" w:sz="4" w:space="0" w:color="A53D47"/>
              <w:right w:val="single" w:sz="4" w:space="0" w:color="000000" w:themeColor="text1"/>
            </w:tcBorders>
            <w:shd w:val="clear" w:color="auto" w:fill="F2F2F2" w:themeFill="background1" w:themeFillShade="F2"/>
          </w:tcPr>
          <w:p w14:paraId="30A3EC81" w14:textId="77777777" w:rsidR="00FA218B" w:rsidRPr="001E7605" w:rsidRDefault="00FA218B" w:rsidP="00FA218B">
            <w:pPr>
              <w:spacing w:line="276" w:lineRule="auto"/>
              <w:jc w:val="center"/>
              <w:rPr>
                <w:rFonts w:ascii="Garamond" w:eastAsia="Calibri" w:hAnsi="Garamond" w:cs="Times New Roman"/>
                <w:sz w:val="22"/>
                <w:lang w:val="en-GB"/>
              </w:rPr>
            </w:pPr>
          </w:p>
        </w:tc>
        <w:tc>
          <w:tcPr>
            <w:tcW w:w="2274" w:type="dxa"/>
            <w:tcBorders>
              <w:top w:val="nil"/>
              <w:left w:val="single" w:sz="4" w:space="0" w:color="000000" w:themeColor="text1"/>
              <w:bottom w:val="single" w:sz="4" w:space="0" w:color="A53D47"/>
              <w:right w:val="single" w:sz="4" w:space="0" w:color="000000" w:themeColor="text1"/>
            </w:tcBorders>
            <w:vAlign w:val="center"/>
          </w:tcPr>
          <w:p w14:paraId="1BB4E5C3"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1.5/K</w:t>
            </w:r>
            <w:r w:rsidRPr="001E7605">
              <w:rPr>
                <w:rFonts w:ascii="Garamond" w:eastAsia="Calibri" w:hAnsi="Garamond" w:cs="Times New Roman"/>
                <w:sz w:val="22"/>
                <w:vertAlign w:val="subscript"/>
                <w:lang w:val="en-GB"/>
              </w:rPr>
              <w:t>V</w:t>
            </w:r>
            <w:r w:rsidRPr="001E7605">
              <w:rPr>
                <w:rFonts w:ascii="Garamond" w:eastAsia="Calibri" w:hAnsi="Garamond" w:cs="Times New Roman"/>
                <w:sz w:val="22"/>
                <w:lang w:val="en-GB"/>
              </w:rPr>
              <w:t>β1.2 + Lgi4</w:t>
            </w:r>
          </w:p>
        </w:tc>
        <w:tc>
          <w:tcPr>
            <w:tcW w:w="2164" w:type="dxa"/>
            <w:tcBorders>
              <w:top w:val="nil"/>
              <w:left w:val="single" w:sz="4" w:space="0" w:color="000000" w:themeColor="text1"/>
              <w:bottom w:val="single" w:sz="4" w:space="0" w:color="A53D47"/>
              <w:right w:val="single" w:sz="4" w:space="0" w:color="000000" w:themeColor="text1"/>
            </w:tcBorders>
            <w:vAlign w:val="center"/>
          </w:tcPr>
          <w:p w14:paraId="05DF2C9B"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-1.6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1.6</w:t>
            </w:r>
          </w:p>
        </w:tc>
        <w:tc>
          <w:tcPr>
            <w:tcW w:w="2049" w:type="dxa"/>
            <w:tcBorders>
              <w:top w:val="nil"/>
              <w:left w:val="single" w:sz="4" w:space="0" w:color="000000" w:themeColor="text1"/>
              <w:bottom w:val="single" w:sz="4" w:space="0" w:color="A53D47"/>
              <w:right w:val="single" w:sz="4" w:space="0" w:color="000000" w:themeColor="text1"/>
            </w:tcBorders>
            <w:vAlign w:val="center"/>
          </w:tcPr>
          <w:p w14:paraId="5DBEE3B7"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xml:space="preserve">6.5 </w:t>
            </w:r>
            <w:r w:rsidRPr="001E7605">
              <w:rPr>
                <w:rFonts w:ascii="Garamond" w:eastAsia="Calibri" w:hAnsi="Garamond" w:cs="Times New Roman"/>
                <w:sz w:val="22"/>
                <w:lang w:val="en-GB"/>
              </w:rPr>
              <w:sym w:font="Symbol" w:char="F0B1"/>
            </w:r>
            <w:r w:rsidRPr="001E7605">
              <w:rPr>
                <w:rFonts w:ascii="Garamond" w:eastAsia="Calibri" w:hAnsi="Garamond" w:cs="Times New Roman"/>
                <w:sz w:val="22"/>
                <w:lang w:val="en-GB"/>
              </w:rPr>
              <w:t xml:space="preserve"> 2.3</w:t>
            </w:r>
          </w:p>
        </w:tc>
        <w:tc>
          <w:tcPr>
            <w:tcW w:w="1439" w:type="dxa"/>
            <w:tcBorders>
              <w:top w:val="nil"/>
              <w:left w:val="single" w:sz="4" w:space="0" w:color="000000" w:themeColor="text1"/>
              <w:bottom w:val="single" w:sz="4" w:space="0" w:color="A53D47"/>
              <w:right w:val="single" w:sz="4" w:space="0" w:color="000000" w:themeColor="text1"/>
            </w:tcBorders>
          </w:tcPr>
          <w:p w14:paraId="7F32C02A"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4</w:t>
            </w:r>
          </w:p>
        </w:tc>
      </w:tr>
      <w:tr w:rsidR="00FA218B" w:rsidRPr="00FF720A" w14:paraId="55FCE5E8" w14:textId="77777777" w:rsidTr="000C26EB">
        <w:tc>
          <w:tcPr>
            <w:tcW w:w="8635" w:type="dxa"/>
            <w:gridSpan w:val="5"/>
            <w:tcBorders>
              <w:top w:val="single" w:sz="4" w:space="0" w:color="000000" w:themeColor="text1"/>
              <w:left w:val="single" w:sz="4" w:space="0" w:color="A53D47"/>
              <w:bottom w:val="single" w:sz="4" w:space="0" w:color="000000" w:themeColor="text1"/>
              <w:right w:val="single" w:sz="4" w:space="0" w:color="000000" w:themeColor="text1"/>
            </w:tcBorders>
          </w:tcPr>
          <w:p w14:paraId="6312741A" w14:textId="77777777" w:rsidR="00FA218B" w:rsidRPr="001E7605" w:rsidRDefault="00FA218B" w:rsidP="00FA218B">
            <w:pPr>
              <w:spacing w:line="276" w:lineRule="auto"/>
              <w:jc w:val="center"/>
              <w:rPr>
                <w:rFonts w:ascii="Garamond" w:eastAsia="Calibri" w:hAnsi="Garamond" w:cs="Times New Roman"/>
                <w:sz w:val="22"/>
                <w:lang w:val="en-GB"/>
              </w:rPr>
            </w:pPr>
            <w:r w:rsidRPr="001E7605">
              <w:rPr>
                <w:rFonts w:ascii="Garamond" w:eastAsia="Calibri" w:hAnsi="Garamond" w:cs="Times New Roman"/>
                <w:sz w:val="22"/>
                <w:lang w:val="en-GB"/>
              </w:rPr>
              <w:t>* p&lt;0.05, ** p&lt;0.01, unpaired Student’s t-test vs its corresponding control</w:t>
            </w:r>
          </w:p>
        </w:tc>
      </w:tr>
    </w:tbl>
    <w:p w14:paraId="620CD4AA" w14:textId="360EE50D" w:rsidR="00FA218B" w:rsidRPr="001E7605" w:rsidRDefault="00FA218B" w:rsidP="00FA218B">
      <w:pPr>
        <w:spacing w:after="240" w:line="276" w:lineRule="auto"/>
        <w:contextualSpacing/>
        <w:jc w:val="both"/>
        <w:rPr>
          <w:rFonts w:ascii="Garamond" w:eastAsia="Calibri" w:hAnsi="Garamond" w:cs="Times New Roman"/>
          <w:lang w:val="en-GB"/>
        </w:rPr>
      </w:pPr>
    </w:p>
    <w:p w14:paraId="4421C68F" w14:textId="7A0DBEE0" w:rsidR="000C26EB" w:rsidRPr="001E7605" w:rsidRDefault="000C26EB" w:rsidP="000C26EB">
      <w:pPr>
        <w:jc w:val="both"/>
        <w:rPr>
          <w:rFonts w:ascii="Garamond" w:hAnsi="Garamond"/>
          <w:sz w:val="22"/>
          <w:szCs w:val="18"/>
          <w:lang w:val="en-GB"/>
        </w:rPr>
      </w:pPr>
      <w:r w:rsidRPr="001E7605">
        <w:rPr>
          <w:rFonts w:ascii="Garamond" w:hAnsi="Garamond"/>
          <w:b/>
          <w:bCs/>
          <w:sz w:val="22"/>
          <w:szCs w:val="18"/>
          <w:lang w:val="en-GB"/>
        </w:rPr>
        <w:t xml:space="preserve">Table S4. </w:t>
      </w:r>
      <w:r w:rsidRPr="001E7605">
        <w:rPr>
          <w:rFonts w:ascii="Garamond" w:hAnsi="Garamond"/>
          <w:sz w:val="22"/>
          <w:szCs w:val="18"/>
          <w:lang w:val="en-GB"/>
        </w:rPr>
        <w:t>Patient characteristics.</w:t>
      </w:r>
    </w:p>
    <w:tbl>
      <w:tblPr>
        <w:tblW w:w="8820" w:type="dxa"/>
        <w:tblLook w:val="04A0" w:firstRow="1" w:lastRow="0" w:firstColumn="1" w:lastColumn="0" w:noHBand="0" w:noVBand="1"/>
      </w:tblPr>
      <w:tblGrid>
        <w:gridCol w:w="3261"/>
        <w:gridCol w:w="1559"/>
        <w:gridCol w:w="1240"/>
        <w:gridCol w:w="1280"/>
        <w:gridCol w:w="1480"/>
      </w:tblGrid>
      <w:tr w:rsidR="0081452A" w:rsidRPr="001E7605" w14:paraId="4185A1BF" w14:textId="77777777" w:rsidTr="0081452A">
        <w:trPr>
          <w:trHeight w:val="315"/>
        </w:trPr>
        <w:tc>
          <w:tcPr>
            <w:tcW w:w="3261" w:type="dxa"/>
            <w:tcBorders>
              <w:top w:val="nil"/>
              <w:left w:val="nil"/>
              <w:bottom w:val="double" w:sz="6" w:space="0" w:color="auto"/>
              <w:right w:val="single" w:sz="4" w:space="0" w:color="auto"/>
            </w:tcBorders>
            <w:noWrap/>
            <w:vAlign w:val="center"/>
            <w:hideMark/>
          </w:tcPr>
          <w:p w14:paraId="5ECB30C4"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 </w:t>
            </w:r>
          </w:p>
        </w:tc>
        <w:tc>
          <w:tcPr>
            <w:tcW w:w="1559" w:type="dxa"/>
            <w:tcBorders>
              <w:top w:val="single" w:sz="4" w:space="0" w:color="auto"/>
              <w:left w:val="single" w:sz="4" w:space="0" w:color="auto"/>
              <w:bottom w:val="double" w:sz="6" w:space="0" w:color="auto"/>
              <w:right w:val="nil"/>
            </w:tcBorders>
            <w:shd w:val="clear" w:color="auto" w:fill="F2F2F2" w:themeFill="background1" w:themeFillShade="F2"/>
            <w:noWrap/>
            <w:vAlign w:val="center"/>
            <w:hideMark/>
          </w:tcPr>
          <w:p w14:paraId="341AC0B8" w14:textId="77777777" w:rsidR="000C26EB" w:rsidRPr="001E7605" w:rsidRDefault="000C26EB" w:rsidP="00CF3C6D">
            <w:pPr>
              <w:jc w:val="center"/>
              <w:rPr>
                <w:rFonts w:ascii="Garamond" w:eastAsia="Times New Roman" w:hAnsi="Garamond" w:cs="Calibri"/>
                <w:b/>
                <w:bCs/>
                <w:color w:val="000000"/>
                <w:sz w:val="22"/>
                <w:szCs w:val="22"/>
                <w:lang w:val="en-GB" w:eastAsia="en-GB"/>
              </w:rPr>
            </w:pPr>
            <w:r w:rsidRPr="001E7605">
              <w:rPr>
                <w:rFonts w:ascii="Garamond" w:eastAsia="Times New Roman" w:hAnsi="Garamond" w:cs="Calibri"/>
                <w:b/>
                <w:bCs/>
                <w:color w:val="000000"/>
                <w:sz w:val="22"/>
                <w:szCs w:val="22"/>
                <w:lang w:val="en-US" w:eastAsia="en-GB"/>
              </w:rPr>
              <w:t>SR</w:t>
            </w:r>
          </w:p>
        </w:tc>
        <w:tc>
          <w:tcPr>
            <w:tcW w:w="1240" w:type="dxa"/>
            <w:tcBorders>
              <w:top w:val="single" w:sz="4" w:space="0" w:color="auto"/>
              <w:left w:val="nil"/>
              <w:bottom w:val="double" w:sz="6" w:space="0" w:color="auto"/>
              <w:right w:val="nil"/>
            </w:tcBorders>
            <w:shd w:val="clear" w:color="auto" w:fill="F2F2F2" w:themeFill="background1" w:themeFillShade="F2"/>
            <w:noWrap/>
            <w:vAlign w:val="center"/>
            <w:hideMark/>
          </w:tcPr>
          <w:p w14:paraId="016033CE" w14:textId="77777777" w:rsidR="000C26EB" w:rsidRPr="001E7605" w:rsidRDefault="000C26EB" w:rsidP="00CF3C6D">
            <w:pPr>
              <w:jc w:val="center"/>
              <w:rPr>
                <w:rFonts w:ascii="Garamond" w:eastAsia="Times New Roman" w:hAnsi="Garamond" w:cs="Calibri"/>
                <w:b/>
                <w:bCs/>
                <w:color w:val="000000"/>
                <w:sz w:val="22"/>
                <w:szCs w:val="22"/>
                <w:lang w:val="en-GB" w:eastAsia="en-GB"/>
              </w:rPr>
            </w:pPr>
            <w:r w:rsidRPr="001E7605">
              <w:rPr>
                <w:rFonts w:ascii="Garamond" w:eastAsia="Times New Roman" w:hAnsi="Garamond" w:cs="Calibri"/>
                <w:b/>
                <w:bCs/>
                <w:color w:val="000000"/>
                <w:sz w:val="22"/>
                <w:szCs w:val="22"/>
                <w:lang w:val="en-GB" w:eastAsia="en-GB"/>
              </w:rPr>
              <w:t>PX AF</w:t>
            </w:r>
          </w:p>
        </w:tc>
        <w:tc>
          <w:tcPr>
            <w:tcW w:w="1280" w:type="dxa"/>
            <w:tcBorders>
              <w:top w:val="single" w:sz="4" w:space="0" w:color="auto"/>
              <w:left w:val="nil"/>
              <w:bottom w:val="double" w:sz="6" w:space="0" w:color="auto"/>
              <w:right w:val="nil"/>
            </w:tcBorders>
            <w:shd w:val="clear" w:color="auto" w:fill="F2F2F2" w:themeFill="background1" w:themeFillShade="F2"/>
            <w:noWrap/>
            <w:vAlign w:val="center"/>
            <w:hideMark/>
          </w:tcPr>
          <w:p w14:paraId="62B01AF5" w14:textId="77777777" w:rsidR="000C26EB" w:rsidRPr="001E7605" w:rsidRDefault="000C26EB" w:rsidP="00CF3C6D">
            <w:pPr>
              <w:jc w:val="center"/>
              <w:rPr>
                <w:rFonts w:ascii="Garamond" w:eastAsia="Times New Roman" w:hAnsi="Garamond" w:cs="Calibri"/>
                <w:b/>
                <w:bCs/>
                <w:color w:val="000000"/>
                <w:sz w:val="22"/>
                <w:szCs w:val="22"/>
                <w:lang w:val="en-GB" w:eastAsia="en-GB"/>
              </w:rPr>
            </w:pPr>
            <w:r w:rsidRPr="001E7605">
              <w:rPr>
                <w:rFonts w:ascii="Garamond" w:eastAsia="Times New Roman" w:hAnsi="Garamond" w:cs="Calibri"/>
                <w:b/>
                <w:bCs/>
                <w:color w:val="000000"/>
                <w:sz w:val="22"/>
                <w:szCs w:val="22"/>
                <w:lang w:val="en-GB" w:eastAsia="en-GB"/>
              </w:rPr>
              <w:t>PM AF</w:t>
            </w:r>
          </w:p>
        </w:tc>
        <w:tc>
          <w:tcPr>
            <w:tcW w:w="1480" w:type="dxa"/>
            <w:tcBorders>
              <w:top w:val="single" w:sz="4" w:space="0" w:color="auto"/>
              <w:left w:val="nil"/>
              <w:bottom w:val="double" w:sz="6" w:space="0" w:color="auto"/>
              <w:right w:val="single" w:sz="4" w:space="0" w:color="auto"/>
            </w:tcBorders>
            <w:shd w:val="clear" w:color="auto" w:fill="F2F2F2" w:themeFill="background1" w:themeFillShade="F2"/>
            <w:noWrap/>
            <w:vAlign w:val="center"/>
            <w:hideMark/>
          </w:tcPr>
          <w:p w14:paraId="190720E5" w14:textId="77777777" w:rsidR="000C26EB" w:rsidRPr="001E7605" w:rsidRDefault="000C26EB" w:rsidP="00CF3C6D">
            <w:pPr>
              <w:jc w:val="center"/>
              <w:rPr>
                <w:rFonts w:ascii="Garamond" w:eastAsia="Times New Roman" w:hAnsi="Garamond" w:cs="Calibri"/>
                <w:b/>
                <w:bCs/>
                <w:color w:val="000000"/>
                <w:sz w:val="22"/>
                <w:szCs w:val="22"/>
                <w:lang w:val="en-GB" w:eastAsia="en-GB"/>
              </w:rPr>
            </w:pPr>
            <w:r w:rsidRPr="001E7605">
              <w:rPr>
                <w:rFonts w:ascii="Garamond" w:eastAsia="Times New Roman" w:hAnsi="Garamond" w:cs="Calibri"/>
                <w:b/>
                <w:bCs/>
                <w:color w:val="000000"/>
                <w:sz w:val="22"/>
                <w:szCs w:val="22"/>
                <w:lang w:val="en-GB" w:eastAsia="en-GB"/>
              </w:rPr>
              <w:t>AF ablation</w:t>
            </w:r>
          </w:p>
        </w:tc>
      </w:tr>
      <w:tr w:rsidR="000C26EB" w:rsidRPr="001E7605" w14:paraId="3858C6EC" w14:textId="77777777" w:rsidTr="00C02FD2">
        <w:trPr>
          <w:trHeight w:val="315"/>
        </w:trPr>
        <w:tc>
          <w:tcPr>
            <w:tcW w:w="3261" w:type="dxa"/>
            <w:tcBorders>
              <w:top w:val="nil"/>
              <w:left w:val="single" w:sz="4" w:space="0" w:color="auto"/>
              <w:bottom w:val="nil"/>
              <w:right w:val="single" w:sz="4" w:space="0" w:color="FFFFFF" w:themeColor="background1"/>
            </w:tcBorders>
            <w:noWrap/>
            <w:vAlign w:val="center"/>
            <w:hideMark/>
          </w:tcPr>
          <w:p w14:paraId="3E9AEAD6"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Patients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582FF466"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33</w:t>
            </w:r>
          </w:p>
        </w:tc>
        <w:tc>
          <w:tcPr>
            <w:tcW w:w="1240" w:type="dxa"/>
            <w:tcBorders>
              <w:top w:val="nil"/>
              <w:left w:val="nil"/>
              <w:bottom w:val="nil"/>
              <w:right w:val="nil"/>
            </w:tcBorders>
            <w:noWrap/>
            <w:vAlign w:val="center"/>
            <w:hideMark/>
          </w:tcPr>
          <w:p w14:paraId="42BFD308"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15</w:t>
            </w:r>
          </w:p>
        </w:tc>
        <w:tc>
          <w:tcPr>
            <w:tcW w:w="1280" w:type="dxa"/>
            <w:tcBorders>
              <w:top w:val="nil"/>
              <w:left w:val="nil"/>
              <w:bottom w:val="nil"/>
              <w:right w:val="nil"/>
            </w:tcBorders>
            <w:noWrap/>
            <w:vAlign w:val="center"/>
            <w:hideMark/>
          </w:tcPr>
          <w:p w14:paraId="540FBBE9"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22</w:t>
            </w:r>
          </w:p>
        </w:tc>
        <w:tc>
          <w:tcPr>
            <w:tcW w:w="1480" w:type="dxa"/>
            <w:tcBorders>
              <w:top w:val="nil"/>
              <w:left w:val="nil"/>
              <w:bottom w:val="nil"/>
              <w:right w:val="single" w:sz="4" w:space="0" w:color="auto"/>
            </w:tcBorders>
            <w:noWrap/>
            <w:vAlign w:val="center"/>
            <w:hideMark/>
          </w:tcPr>
          <w:p w14:paraId="7AA8C9F5"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2</w:t>
            </w:r>
          </w:p>
        </w:tc>
      </w:tr>
      <w:tr w:rsidR="000C26EB" w:rsidRPr="001E7605" w14:paraId="1A555553"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40D41C95"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Mean age (</w:t>
            </w:r>
            <w:r w:rsidRPr="001E7605">
              <w:rPr>
                <w:rFonts w:ascii="Garamond" w:eastAsia="Times New Roman" w:hAnsi="Garamond" w:cs="Calibri"/>
                <w:i/>
                <w:iCs/>
                <w:color w:val="000000"/>
                <w:sz w:val="22"/>
                <w:szCs w:val="22"/>
                <w:lang w:val="en-US" w:eastAsia="en-GB"/>
              </w:rPr>
              <w:t>y)</w:t>
            </w:r>
            <w:r w:rsidRPr="001E7605">
              <w:rPr>
                <w:rFonts w:ascii="Garamond" w:eastAsia="Times New Roman" w:hAnsi="Garamond" w:cs="Calibri"/>
                <w:color w:val="000000"/>
                <w:sz w:val="22"/>
                <w:szCs w:val="22"/>
                <w:lang w:val="en-US" w:eastAsia="en-GB"/>
              </w:rPr>
              <w:t xml:space="preserve">                                                               </w:t>
            </w:r>
          </w:p>
        </w:tc>
        <w:tc>
          <w:tcPr>
            <w:tcW w:w="1559" w:type="dxa"/>
            <w:tcBorders>
              <w:top w:val="nil"/>
              <w:left w:val="single" w:sz="4" w:space="0" w:color="FFFFFF" w:themeColor="background1"/>
              <w:bottom w:val="nil"/>
              <w:right w:val="nil"/>
            </w:tcBorders>
            <w:noWrap/>
            <w:vAlign w:val="center"/>
            <w:hideMark/>
          </w:tcPr>
          <w:p w14:paraId="24595998"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61±13</w:t>
            </w:r>
          </w:p>
        </w:tc>
        <w:tc>
          <w:tcPr>
            <w:tcW w:w="1240" w:type="dxa"/>
            <w:tcBorders>
              <w:top w:val="nil"/>
              <w:left w:val="nil"/>
              <w:bottom w:val="nil"/>
              <w:right w:val="nil"/>
            </w:tcBorders>
            <w:noWrap/>
            <w:vAlign w:val="center"/>
            <w:hideMark/>
          </w:tcPr>
          <w:p w14:paraId="12CEF16A"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 xml:space="preserve">69±8   </w:t>
            </w:r>
          </w:p>
        </w:tc>
        <w:tc>
          <w:tcPr>
            <w:tcW w:w="1280" w:type="dxa"/>
            <w:tcBorders>
              <w:top w:val="nil"/>
              <w:left w:val="nil"/>
              <w:bottom w:val="nil"/>
              <w:right w:val="nil"/>
            </w:tcBorders>
            <w:noWrap/>
            <w:vAlign w:val="center"/>
            <w:hideMark/>
          </w:tcPr>
          <w:p w14:paraId="28103724"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74±7</w:t>
            </w:r>
          </w:p>
        </w:tc>
        <w:tc>
          <w:tcPr>
            <w:tcW w:w="1480" w:type="dxa"/>
            <w:tcBorders>
              <w:top w:val="nil"/>
              <w:left w:val="nil"/>
              <w:bottom w:val="nil"/>
              <w:right w:val="single" w:sz="4" w:space="0" w:color="auto"/>
            </w:tcBorders>
            <w:noWrap/>
            <w:vAlign w:val="center"/>
            <w:hideMark/>
          </w:tcPr>
          <w:p w14:paraId="11202C6F"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 xml:space="preserve">69±2 </w:t>
            </w:r>
          </w:p>
        </w:tc>
      </w:tr>
      <w:tr w:rsidR="000C26EB" w:rsidRPr="001E7605" w14:paraId="04EEDC87"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56B71111"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Male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 xml:space="preserve">)  </w:t>
            </w:r>
          </w:p>
        </w:tc>
        <w:tc>
          <w:tcPr>
            <w:tcW w:w="1559" w:type="dxa"/>
            <w:tcBorders>
              <w:top w:val="nil"/>
              <w:left w:val="single" w:sz="4" w:space="0" w:color="FFFFFF" w:themeColor="background1"/>
              <w:bottom w:val="nil"/>
              <w:right w:val="nil"/>
            </w:tcBorders>
            <w:noWrap/>
            <w:vAlign w:val="center"/>
            <w:hideMark/>
          </w:tcPr>
          <w:p w14:paraId="481690B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26</w:t>
            </w:r>
          </w:p>
        </w:tc>
        <w:tc>
          <w:tcPr>
            <w:tcW w:w="1240" w:type="dxa"/>
            <w:tcBorders>
              <w:top w:val="nil"/>
              <w:left w:val="nil"/>
              <w:bottom w:val="nil"/>
              <w:right w:val="nil"/>
            </w:tcBorders>
            <w:noWrap/>
            <w:vAlign w:val="center"/>
            <w:hideMark/>
          </w:tcPr>
          <w:p w14:paraId="24B9B623"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9</w:t>
            </w:r>
          </w:p>
        </w:tc>
        <w:tc>
          <w:tcPr>
            <w:tcW w:w="1280" w:type="dxa"/>
            <w:tcBorders>
              <w:top w:val="nil"/>
              <w:left w:val="nil"/>
              <w:bottom w:val="nil"/>
              <w:right w:val="nil"/>
            </w:tcBorders>
            <w:noWrap/>
            <w:vAlign w:val="center"/>
            <w:hideMark/>
          </w:tcPr>
          <w:p w14:paraId="038D1C68"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14</w:t>
            </w:r>
          </w:p>
        </w:tc>
        <w:tc>
          <w:tcPr>
            <w:tcW w:w="1480" w:type="dxa"/>
            <w:tcBorders>
              <w:top w:val="nil"/>
              <w:left w:val="nil"/>
              <w:bottom w:val="nil"/>
              <w:right w:val="single" w:sz="4" w:space="0" w:color="auto"/>
            </w:tcBorders>
            <w:noWrap/>
            <w:vAlign w:val="center"/>
            <w:hideMark/>
          </w:tcPr>
          <w:p w14:paraId="57878464"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r>
      <w:tr w:rsidR="000C26EB" w:rsidRPr="001E7605" w14:paraId="429A9C5D"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5A8EE59B"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Hypertension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370B5ED9"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15</w:t>
            </w:r>
          </w:p>
        </w:tc>
        <w:tc>
          <w:tcPr>
            <w:tcW w:w="1240" w:type="dxa"/>
            <w:tcBorders>
              <w:top w:val="nil"/>
              <w:left w:val="nil"/>
              <w:bottom w:val="nil"/>
              <w:right w:val="nil"/>
            </w:tcBorders>
            <w:noWrap/>
            <w:vAlign w:val="center"/>
            <w:hideMark/>
          </w:tcPr>
          <w:p w14:paraId="4A42881E"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8</w:t>
            </w:r>
          </w:p>
        </w:tc>
        <w:tc>
          <w:tcPr>
            <w:tcW w:w="1280" w:type="dxa"/>
            <w:tcBorders>
              <w:top w:val="nil"/>
              <w:left w:val="nil"/>
              <w:bottom w:val="nil"/>
              <w:right w:val="nil"/>
            </w:tcBorders>
            <w:noWrap/>
            <w:vAlign w:val="center"/>
            <w:hideMark/>
          </w:tcPr>
          <w:p w14:paraId="756CC634"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13</w:t>
            </w:r>
          </w:p>
        </w:tc>
        <w:tc>
          <w:tcPr>
            <w:tcW w:w="1480" w:type="dxa"/>
            <w:tcBorders>
              <w:top w:val="nil"/>
              <w:left w:val="nil"/>
              <w:bottom w:val="nil"/>
              <w:right w:val="single" w:sz="4" w:space="0" w:color="auto"/>
            </w:tcBorders>
            <w:noWrap/>
            <w:vAlign w:val="center"/>
            <w:hideMark/>
          </w:tcPr>
          <w:p w14:paraId="68FCBAE4"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r>
      <w:tr w:rsidR="000C26EB" w:rsidRPr="001E7605" w14:paraId="5C56BAAF"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406D65F7"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Diabetes mellitus (</w:t>
            </w:r>
            <w:r w:rsidRPr="001E7605">
              <w:rPr>
                <w:rFonts w:ascii="Garamond" w:eastAsia="Times New Roman" w:hAnsi="Garamond" w:cs="Calibri"/>
                <w:i/>
                <w:iCs/>
                <w:color w:val="000000"/>
                <w:sz w:val="22"/>
                <w:szCs w:val="22"/>
                <w:lang w:eastAsia="en-GB"/>
              </w:rPr>
              <w:t>n</w:t>
            </w:r>
            <w:r w:rsidRPr="001E7605">
              <w:rPr>
                <w:rFonts w:ascii="Garamond" w:eastAsia="Times New Roman" w:hAnsi="Garamond" w:cs="Calibri"/>
                <w:color w:val="000000"/>
                <w:sz w:val="22"/>
                <w:szCs w:val="22"/>
                <w:lang w:eastAsia="en-GB"/>
              </w:rPr>
              <w:t>)</w:t>
            </w:r>
          </w:p>
        </w:tc>
        <w:tc>
          <w:tcPr>
            <w:tcW w:w="1559" w:type="dxa"/>
            <w:tcBorders>
              <w:top w:val="nil"/>
              <w:left w:val="single" w:sz="4" w:space="0" w:color="FFFFFF" w:themeColor="background1"/>
              <w:bottom w:val="nil"/>
              <w:right w:val="nil"/>
            </w:tcBorders>
            <w:noWrap/>
            <w:vAlign w:val="center"/>
            <w:hideMark/>
          </w:tcPr>
          <w:p w14:paraId="3FED87D4"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5</w:t>
            </w:r>
          </w:p>
        </w:tc>
        <w:tc>
          <w:tcPr>
            <w:tcW w:w="1240" w:type="dxa"/>
            <w:tcBorders>
              <w:top w:val="nil"/>
              <w:left w:val="nil"/>
              <w:bottom w:val="nil"/>
              <w:right w:val="nil"/>
            </w:tcBorders>
            <w:noWrap/>
            <w:vAlign w:val="center"/>
            <w:hideMark/>
          </w:tcPr>
          <w:p w14:paraId="1680945A"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3</w:t>
            </w:r>
          </w:p>
        </w:tc>
        <w:tc>
          <w:tcPr>
            <w:tcW w:w="1280" w:type="dxa"/>
            <w:tcBorders>
              <w:top w:val="nil"/>
              <w:left w:val="nil"/>
              <w:bottom w:val="nil"/>
              <w:right w:val="nil"/>
            </w:tcBorders>
            <w:noWrap/>
            <w:vAlign w:val="center"/>
            <w:hideMark/>
          </w:tcPr>
          <w:p w14:paraId="5DC80D58"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4</w:t>
            </w:r>
          </w:p>
        </w:tc>
        <w:tc>
          <w:tcPr>
            <w:tcW w:w="1480" w:type="dxa"/>
            <w:tcBorders>
              <w:top w:val="nil"/>
              <w:left w:val="nil"/>
              <w:bottom w:val="nil"/>
              <w:right w:val="single" w:sz="4" w:space="0" w:color="auto"/>
            </w:tcBorders>
            <w:noWrap/>
            <w:vAlign w:val="center"/>
            <w:hideMark/>
          </w:tcPr>
          <w:p w14:paraId="5EB4E234"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r>
      <w:tr w:rsidR="000C26EB" w:rsidRPr="001E7605" w14:paraId="500A102A"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0644A498" w14:textId="77777777" w:rsidR="000C26EB" w:rsidRPr="001E7605" w:rsidRDefault="000C26EB" w:rsidP="00CF3C6D">
            <w:pPr>
              <w:jc w:val="both"/>
              <w:rPr>
                <w:rFonts w:ascii="Garamond" w:eastAsia="Times New Roman" w:hAnsi="Garamond" w:cs="Calibri"/>
                <w:color w:val="000000"/>
                <w:sz w:val="22"/>
                <w:szCs w:val="22"/>
                <w:lang w:val="en-GB" w:eastAsia="en-GB"/>
              </w:rPr>
            </w:pPr>
            <w:proofErr w:type="spellStart"/>
            <w:r w:rsidRPr="001E7605">
              <w:rPr>
                <w:rFonts w:ascii="Garamond" w:eastAsia="Times New Roman" w:hAnsi="Garamond" w:cs="Calibri"/>
                <w:color w:val="000000"/>
                <w:sz w:val="22"/>
                <w:szCs w:val="18"/>
                <w:lang w:eastAsia="en-GB"/>
              </w:rPr>
              <w:t>Dyslipidemia</w:t>
            </w:r>
            <w:proofErr w:type="spellEnd"/>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i/>
                <w:iCs/>
                <w:color w:val="000000"/>
                <w:sz w:val="22"/>
                <w:szCs w:val="22"/>
                <w:lang w:eastAsia="en-GB"/>
              </w:rPr>
              <w:t>n</w:t>
            </w:r>
            <w:r w:rsidRPr="001E7605">
              <w:rPr>
                <w:rFonts w:ascii="Garamond" w:eastAsia="Times New Roman" w:hAnsi="Garamond" w:cs="Calibri"/>
                <w:color w:val="000000"/>
                <w:sz w:val="22"/>
                <w:szCs w:val="22"/>
                <w:lang w:eastAsia="en-GB"/>
              </w:rPr>
              <w:t>)</w:t>
            </w:r>
          </w:p>
        </w:tc>
        <w:tc>
          <w:tcPr>
            <w:tcW w:w="1559" w:type="dxa"/>
            <w:tcBorders>
              <w:top w:val="nil"/>
              <w:left w:val="single" w:sz="4" w:space="0" w:color="FFFFFF" w:themeColor="background1"/>
              <w:bottom w:val="nil"/>
              <w:right w:val="nil"/>
            </w:tcBorders>
            <w:noWrap/>
            <w:vAlign w:val="center"/>
            <w:hideMark/>
          </w:tcPr>
          <w:p w14:paraId="126B069B"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10</w:t>
            </w:r>
          </w:p>
        </w:tc>
        <w:tc>
          <w:tcPr>
            <w:tcW w:w="1240" w:type="dxa"/>
            <w:tcBorders>
              <w:top w:val="nil"/>
              <w:left w:val="nil"/>
              <w:bottom w:val="nil"/>
              <w:right w:val="nil"/>
            </w:tcBorders>
            <w:noWrap/>
            <w:vAlign w:val="center"/>
            <w:hideMark/>
          </w:tcPr>
          <w:p w14:paraId="2EE9224E"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11</w:t>
            </w:r>
          </w:p>
        </w:tc>
        <w:tc>
          <w:tcPr>
            <w:tcW w:w="1280" w:type="dxa"/>
            <w:tcBorders>
              <w:top w:val="nil"/>
              <w:left w:val="nil"/>
              <w:bottom w:val="nil"/>
              <w:right w:val="nil"/>
            </w:tcBorders>
            <w:noWrap/>
            <w:vAlign w:val="center"/>
            <w:hideMark/>
          </w:tcPr>
          <w:p w14:paraId="40D5D47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16</w:t>
            </w:r>
          </w:p>
        </w:tc>
        <w:tc>
          <w:tcPr>
            <w:tcW w:w="1480" w:type="dxa"/>
            <w:tcBorders>
              <w:top w:val="nil"/>
              <w:left w:val="nil"/>
              <w:bottom w:val="nil"/>
              <w:right w:val="single" w:sz="4" w:space="0" w:color="auto"/>
            </w:tcBorders>
            <w:noWrap/>
            <w:vAlign w:val="center"/>
            <w:hideMark/>
          </w:tcPr>
          <w:p w14:paraId="6643BF2D"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2</w:t>
            </w:r>
          </w:p>
        </w:tc>
      </w:tr>
      <w:tr w:rsidR="000C26EB" w:rsidRPr="001E7605" w14:paraId="7AF8337A"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2D1B0DE6"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 xml:space="preserve">Stroke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01F106F3"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240" w:type="dxa"/>
            <w:tcBorders>
              <w:top w:val="nil"/>
              <w:left w:val="nil"/>
              <w:bottom w:val="nil"/>
              <w:right w:val="nil"/>
            </w:tcBorders>
            <w:noWrap/>
            <w:vAlign w:val="center"/>
            <w:hideMark/>
          </w:tcPr>
          <w:p w14:paraId="16A45C5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280" w:type="dxa"/>
            <w:tcBorders>
              <w:top w:val="nil"/>
              <w:left w:val="nil"/>
              <w:bottom w:val="nil"/>
              <w:right w:val="nil"/>
            </w:tcBorders>
            <w:noWrap/>
            <w:vAlign w:val="center"/>
            <w:hideMark/>
          </w:tcPr>
          <w:p w14:paraId="3A764035"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6</w:t>
            </w:r>
          </w:p>
        </w:tc>
        <w:tc>
          <w:tcPr>
            <w:tcW w:w="1480" w:type="dxa"/>
            <w:tcBorders>
              <w:top w:val="nil"/>
              <w:left w:val="nil"/>
              <w:bottom w:val="nil"/>
              <w:right w:val="single" w:sz="4" w:space="0" w:color="auto"/>
            </w:tcBorders>
            <w:noWrap/>
            <w:vAlign w:val="center"/>
            <w:hideMark/>
          </w:tcPr>
          <w:p w14:paraId="658A053F"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30167986"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1EDBB740"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 xml:space="preserve">Myocardial infarction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6E11C353"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5</w:t>
            </w:r>
          </w:p>
        </w:tc>
        <w:tc>
          <w:tcPr>
            <w:tcW w:w="1240" w:type="dxa"/>
            <w:tcBorders>
              <w:top w:val="nil"/>
              <w:left w:val="nil"/>
              <w:bottom w:val="nil"/>
              <w:right w:val="nil"/>
            </w:tcBorders>
            <w:noWrap/>
            <w:vAlign w:val="center"/>
            <w:hideMark/>
          </w:tcPr>
          <w:p w14:paraId="3A7F4662"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2</w:t>
            </w:r>
          </w:p>
        </w:tc>
        <w:tc>
          <w:tcPr>
            <w:tcW w:w="1280" w:type="dxa"/>
            <w:tcBorders>
              <w:top w:val="nil"/>
              <w:left w:val="nil"/>
              <w:bottom w:val="nil"/>
              <w:right w:val="nil"/>
            </w:tcBorders>
            <w:noWrap/>
            <w:vAlign w:val="center"/>
            <w:hideMark/>
          </w:tcPr>
          <w:p w14:paraId="3FBBE190"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480" w:type="dxa"/>
            <w:tcBorders>
              <w:top w:val="nil"/>
              <w:left w:val="nil"/>
              <w:bottom w:val="nil"/>
              <w:right w:val="single" w:sz="4" w:space="0" w:color="auto"/>
            </w:tcBorders>
            <w:noWrap/>
            <w:vAlign w:val="center"/>
            <w:hideMark/>
          </w:tcPr>
          <w:p w14:paraId="25C9217D"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r>
      <w:tr w:rsidR="000C26EB" w:rsidRPr="001E7605" w14:paraId="63E8714E"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6940DD99" w14:textId="77777777" w:rsidR="000C26EB" w:rsidRPr="001E7605" w:rsidRDefault="000C26EB" w:rsidP="00CF3C6D">
            <w:pPr>
              <w:jc w:val="center"/>
              <w:rPr>
                <w:rFonts w:ascii="Garamond" w:eastAsia="Times New Roman" w:hAnsi="Garamond" w:cs="Calibri"/>
                <w:color w:val="000000"/>
                <w:sz w:val="22"/>
                <w:szCs w:val="22"/>
                <w:lang w:val="en-GB" w:eastAsia="en-GB"/>
              </w:rPr>
            </w:pPr>
          </w:p>
        </w:tc>
        <w:tc>
          <w:tcPr>
            <w:tcW w:w="1559" w:type="dxa"/>
            <w:tcBorders>
              <w:top w:val="nil"/>
              <w:left w:val="single" w:sz="4" w:space="0" w:color="FFFFFF" w:themeColor="background1"/>
              <w:bottom w:val="nil"/>
              <w:right w:val="nil"/>
            </w:tcBorders>
            <w:noWrap/>
            <w:vAlign w:val="center"/>
            <w:hideMark/>
          </w:tcPr>
          <w:p w14:paraId="78822134" w14:textId="77777777" w:rsidR="000C26EB" w:rsidRPr="001E7605" w:rsidRDefault="000C26EB" w:rsidP="00CF3C6D">
            <w:pPr>
              <w:jc w:val="both"/>
              <w:rPr>
                <w:rFonts w:ascii="Times New Roman" w:eastAsia="Times New Roman" w:hAnsi="Times New Roman" w:cs="Times New Roman"/>
                <w:sz w:val="20"/>
                <w:szCs w:val="20"/>
                <w:lang w:val="en-GB" w:eastAsia="en-GB"/>
              </w:rPr>
            </w:pPr>
          </w:p>
        </w:tc>
        <w:tc>
          <w:tcPr>
            <w:tcW w:w="1240" w:type="dxa"/>
            <w:tcBorders>
              <w:top w:val="nil"/>
              <w:left w:val="nil"/>
              <w:bottom w:val="nil"/>
              <w:right w:val="nil"/>
            </w:tcBorders>
            <w:noWrap/>
            <w:vAlign w:val="center"/>
            <w:hideMark/>
          </w:tcPr>
          <w:p w14:paraId="3340B3F0"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280" w:type="dxa"/>
            <w:tcBorders>
              <w:top w:val="nil"/>
              <w:left w:val="nil"/>
              <w:bottom w:val="nil"/>
              <w:right w:val="nil"/>
            </w:tcBorders>
            <w:noWrap/>
            <w:vAlign w:val="center"/>
            <w:hideMark/>
          </w:tcPr>
          <w:p w14:paraId="5443D554"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480" w:type="dxa"/>
            <w:tcBorders>
              <w:top w:val="nil"/>
              <w:left w:val="nil"/>
              <w:bottom w:val="nil"/>
              <w:right w:val="single" w:sz="4" w:space="0" w:color="auto"/>
            </w:tcBorders>
            <w:noWrap/>
            <w:vAlign w:val="center"/>
            <w:hideMark/>
          </w:tcPr>
          <w:p w14:paraId="495BDADF"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r>
      <w:tr w:rsidR="000C26EB" w:rsidRPr="001E7605" w14:paraId="0DE70BE4"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674FA46F"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 xml:space="preserve">Smoking habit </w:t>
            </w:r>
          </w:p>
        </w:tc>
        <w:tc>
          <w:tcPr>
            <w:tcW w:w="1559" w:type="dxa"/>
            <w:tcBorders>
              <w:top w:val="nil"/>
              <w:left w:val="single" w:sz="4" w:space="0" w:color="FFFFFF" w:themeColor="background1"/>
              <w:bottom w:val="nil"/>
              <w:right w:val="nil"/>
            </w:tcBorders>
            <w:noWrap/>
            <w:vAlign w:val="center"/>
            <w:hideMark/>
          </w:tcPr>
          <w:p w14:paraId="75643420" w14:textId="77777777" w:rsidR="000C26EB" w:rsidRPr="001E7605" w:rsidRDefault="000C26EB" w:rsidP="00CF3C6D">
            <w:pPr>
              <w:jc w:val="both"/>
              <w:rPr>
                <w:rFonts w:ascii="Garamond" w:eastAsia="Times New Roman" w:hAnsi="Garamond" w:cs="Calibri"/>
                <w:color w:val="000000"/>
                <w:sz w:val="22"/>
                <w:szCs w:val="22"/>
                <w:lang w:val="en-GB" w:eastAsia="en-GB"/>
              </w:rPr>
            </w:pPr>
          </w:p>
        </w:tc>
        <w:tc>
          <w:tcPr>
            <w:tcW w:w="1240" w:type="dxa"/>
            <w:tcBorders>
              <w:top w:val="nil"/>
              <w:left w:val="nil"/>
              <w:bottom w:val="nil"/>
              <w:right w:val="nil"/>
            </w:tcBorders>
            <w:noWrap/>
            <w:vAlign w:val="center"/>
            <w:hideMark/>
          </w:tcPr>
          <w:p w14:paraId="2030AEDB"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280" w:type="dxa"/>
            <w:tcBorders>
              <w:top w:val="nil"/>
              <w:left w:val="nil"/>
              <w:bottom w:val="nil"/>
              <w:right w:val="nil"/>
            </w:tcBorders>
            <w:noWrap/>
            <w:vAlign w:val="center"/>
            <w:hideMark/>
          </w:tcPr>
          <w:p w14:paraId="06B0CB86"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480" w:type="dxa"/>
            <w:tcBorders>
              <w:top w:val="nil"/>
              <w:left w:val="nil"/>
              <w:bottom w:val="nil"/>
              <w:right w:val="single" w:sz="4" w:space="0" w:color="auto"/>
            </w:tcBorders>
            <w:noWrap/>
            <w:vAlign w:val="center"/>
            <w:hideMark/>
          </w:tcPr>
          <w:p w14:paraId="477C7D7D"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r>
      <w:tr w:rsidR="000C26EB" w:rsidRPr="001E7605" w14:paraId="5148888D"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73BFD762"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No (</w:t>
            </w:r>
            <w:r w:rsidRPr="001E7605">
              <w:rPr>
                <w:rFonts w:ascii="Garamond" w:eastAsia="Times New Roman" w:hAnsi="Garamond" w:cs="Calibri"/>
                <w:i/>
                <w:iCs/>
                <w:color w:val="000000"/>
                <w:sz w:val="22"/>
                <w:szCs w:val="22"/>
                <w:lang w:eastAsia="en-GB"/>
              </w:rPr>
              <w:t>n</w:t>
            </w:r>
            <w:r w:rsidRPr="001E7605">
              <w:rPr>
                <w:rFonts w:ascii="Garamond" w:eastAsia="Times New Roman" w:hAnsi="Garamond" w:cs="Calibri"/>
                <w:color w:val="000000"/>
                <w:sz w:val="22"/>
                <w:szCs w:val="22"/>
                <w:lang w:eastAsia="en-GB"/>
              </w:rPr>
              <w:t xml:space="preserve">) </w:t>
            </w:r>
          </w:p>
        </w:tc>
        <w:tc>
          <w:tcPr>
            <w:tcW w:w="1559" w:type="dxa"/>
            <w:tcBorders>
              <w:top w:val="nil"/>
              <w:left w:val="single" w:sz="4" w:space="0" w:color="FFFFFF" w:themeColor="background1"/>
              <w:bottom w:val="nil"/>
              <w:right w:val="nil"/>
            </w:tcBorders>
            <w:noWrap/>
            <w:vAlign w:val="center"/>
            <w:hideMark/>
          </w:tcPr>
          <w:p w14:paraId="21B6B53A"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16</w:t>
            </w:r>
          </w:p>
        </w:tc>
        <w:tc>
          <w:tcPr>
            <w:tcW w:w="1240" w:type="dxa"/>
            <w:tcBorders>
              <w:top w:val="nil"/>
              <w:left w:val="nil"/>
              <w:bottom w:val="nil"/>
              <w:right w:val="nil"/>
            </w:tcBorders>
            <w:noWrap/>
            <w:vAlign w:val="center"/>
            <w:hideMark/>
          </w:tcPr>
          <w:p w14:paraId="795337D3"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9</w:t>
            </w:r>
          </w:p>
        </w:tc>
        <w:tc>
          <w:tcPr>
            <w:tcW w:w="1280" w:type="dxa"/>
            <w:tcBorders>
              <w:top w:val="nil"/>
              <w:left w:val="nil"/>
              <w:bottom w:val="nil"/>
              <w:right w:val="nil"/>
            </w:tcBorders>
            <w:noWrap/>
            <w:vAlign w:val="center"/>
            <w:hideMark/>
          </w:tcPr>
          <w:p w14:paraId="08919DFB"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15</w:t>
            </w:r>
          </w:p>
        </w:tc>
        <w:tc>
          <w:tcPr>
            <w:tcW w:w="1480" w:type="dxa"/>
            <w:tcBorders>
              <w:top w:val="nil"/>
              <w:left w:val="nil"/>
              <w:bottom w:val="nil"/>
              <w:right w:val="single" w:sz="4" w:space="0" w:color="auto"/>
            </w:tcBorders>
            <w:noWrap/>
            <w:vAlign w:val="center"/>
            <w:hideMark/>
          </w:tcPr>
          <w:p w14:paraId="55665144"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r>
      <w:tr w:rsidR="000C26EB" w:rsidRPr="001E7605" w14:paraId="7FA51EE2"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66AB63CF"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GB" w:eastAsia="en-GB"/>
              </w:rPr>
              <w:t xml:space="preserve">             Ex-smoker </w:t>
            </w:r>
            <w:r w:rsidRPr="001E7605">
              <w:rPr>
                <w:rFonts w:ascii="Garamond" w:eastAsia="Times New Roman" w:hAnsi="Garamond" w:cs="Calibri"/>
                <w:i/>
                <w:iCs/>
                <w:color w:val="000000"/>
                <w:sz w:val="22"/>
                <w:szCs w:val="22"/>
                <w:lang w:val="en-GB" w:eastAsia="en-GB"/>
              </w:rPr>
              <w:t>(n</w:t>
            </w:r>
            <w:r w:rsidRPr="001E7605">
              <w:rPr>
                <w:rFonts w:ascii="Garamond" w:eastAsia="Times New Roman" w:hAnsi="Garamond" w:cs="Calibri"/>
                <w:color w:val="000000"/>
                <w:sz w:val="22"/>
                <w:szCs w:val="22"/>
                <w:lang w:val="en-GB" w:eastAsia="en-GB"/>
              </w:rPr>
              <w:t xml:space="preserve">) </w:t>
            </w:r>
          </w:p>
        </w:tc>
        <w:tc>
          <w:tcPr>
            <w:tcW w:w="1559" w:type="dxa"/>
            <w:tcBorders>
              <w:top w:val="nil"/>
              <w:left w:val="single" w:sz="4" w:space="0" w:color="FFFFFF" w:themeColor="background1"/>
              <w:bottom w:val="nil"/>
              <w:right w:val="nil"/>
            </w:tcBorders>
            <w:noWrap/>
            <w:vAlign w:val="center"/>
            <w:hideMark/>
          </w:tcPr>
          <w:p w14:paraId="5820ED3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14</w:t>
            </w:r>
          </w:p>
        </w:tc>
        <w:tc>
          <w:tcPr>
            <w:tcW w:w="1240" w:type="dxa"/>
            <w:tcBorders>
              <w:top w:val="nil"/>
              <w:left w:val="nil"/>
              <w:bottom w:val="nil"/>
              <w:right w:val="nil"/>
            </w:tcBorders>
            <w:noWrap/>
            <w:vAlign w:val="center"/>
            <w:hideMark/>
          </w:tcPr>
          <w:p w14:paraId="02384759"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5</w:t>
            </w:r>
          </w:p>
        </w:tc>
        <w:tc>
          <w:tcPr>
            <w:tcW w:w="1280" w:type="dxa"/>
            <w:tcBorders>
              <w:top w:val="nil"/>
              <w:left w:val="nil"/>
              <w:bottom w:val="nil"/>
              <w:right w:val="nil"/>
            </w:tcBorders>
            <w:noWrap/>
            <w:vAlign w:val="center"/>
            <w:hideMark/>
          </w:tcPr>
          <w:p w14:paraId="4415CCF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5</w:t>
            </w:r>
          </w:p>
        </w:tc>
        <w:tc>
          <w:tcPr>
            <w:tcW w:w="1480" w:type="dxa"/>
            <w:tcBorders>
              <w:top w:val="nil"/>
              <w:left w:val="nil"/>
              <w:bottom w:val="nil"/>
              <w:right w:val="single" w:sz="4" w:space="0" w:color="auto"/>
            </w:tcBorders>
            <w:noWrap/>
            <w:vAlign w:val="center"/>
            <w:hideMark/>
          </w:tcPr>
          <w:p w14:paraId="13640875"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r>
      <w:tr w:rsidR="000C26EB" w:rsidRPr="001E7605" w14:paraId="52E7DA16"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7C9EAEA5"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GB" w:eastAsia="en-GB"/>
              </w:rPr>
              <w:t xml:space="preserve">             Current smoker (</w:t>
            </w:r>
            <w:r w:rsidRPr="001E7605">
              <w:rPr>
                <w:rFonts w:ascii="Garamond" w:eastAsia="Times New Roman" w:hAnsi="Garamond" w:cs="Calibri"/>
                <w:i/>
                <w:iCs/>
                <w:color w:val="000000"/>
                <w:sz w:val="22"/>
                <w:szCs w:val="22"/>
                <w:lang w:val="en-GB" w:eastAsia="en-GB"/>
              </w:rPr>
              <w:t>n</w:t>
            </w:r>
            <w:r w:rsidRPr="001E7605">
              <w:rPr>
                <w:rFonts w:ascii="Garamond" w:eastAsia="Times New Roman" w:hAnsi="Garamond" w:cs="Calibri"/>
                <w:color w:val="000000"/>
                <w:sz w:val="22"/>
                <w:szCs w:val="22"/>
                <w:lang w:val="en-GB" w:eastAsia="en-GB"/>
              </w:rPr>
              <w:t>)</w:t>
            </w:r>
          </w:p>
        </w:tc>
        <w:tc>
          <w:tcPr>
            <w:tcW w:w="1559" w:type="dxa"/>
            <w:tcBorders>
              <w:top w:val="nil"/>
              <w:left w:val="single" w:sz="4" w:space="0" w:color="FFFFFF" w:themeColor="background1"/>
              <w:bottom w:val="nil"/>
              <w:right w:val="nil"/>
            </w:tcBorders>
            <w:noWrap/>
            <w:vAlign w:val="center"/>
            <w:hideMark/>
          </w:tcPr>
          <w:p w14:paraId="6E9EFB88"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3</w:t>
            </w:r>
          </w:p>
        </w:tc>
        <w:tc>
          <w:tcPr>
            <w:tcW w:w="1240" w:type="dxa"/>
            <w:tcBorders>
              <w:top w:val="nil"/>
              <w:left w:val="nil"/>
              <w:bottom w:val="nil"/>
              <w:right w:val="nil"/>
            </w:tcBorders>
            <w:noWrap/>
            <w:vAlign w:val="center"/>
            <w:hideMark/>
          </w:tcPr>
          <w:p w14:paraId="64247987"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280" w:type="dxa"/>
            <w:tcBorders>
              <w:top w:val="nil"/>
              <w:left w:val="nil"/>
              <w:bottom w:val="nil"/>
              <w:right w:val="nil"/>
            </w:tcBorders>
            <w:noWrap/>
            <w:vAlign w:val="center"/>
            <w:hideMark/>
          </w:tcPr>
          <w:p w14:paraId="66572A40"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2</w:t>
            </w:r>
          </w:p>
        </w:tc>
        <w:tc>
          <w:tcPr>
            <w:tcW w:w="1480" w:type="dxa"/>
            <w:tcBorders>
              <w:top w:val="nil"/>
              <w:left w:val="nil"/>
              <w:bottom w:val="nil"/>
              <w:right w:val="single" w:sz="4" w:space="0" w:color="auto"/>
            </w:tcBorders>
            <w:noWrap/>
            <w:vAlign w:val="center"/>
            <w:hideMark/>
          </w:tcPr>
          <w:p w14:paraId="38FCBCE8"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25747439"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23A6549D" w14:textId="77777777" w:rsidR="000C26EB" w:rsidRPr="001E7605" w:rsidRDefault="000C26EB" w:rsidP="00CF3C6D">
            <w:pPr>
              <w:jc w:val="center"/>
              <w:rPr>
                <w:rFonts w:ascii="Garamond" w:eastAsia="Times New Roman" w:hAnsi="Garamond" w:cs="Calibri"/>
                <w:color w:val="000000"/>
                <w:sz w:val="22"/>
                <w:szCs w:val="22"/>
                <w:lang w:val="en-GB" w:eastAsia="en-GB"/>
              </w:rPr>
            </w:pPr>
          </w:p>
        </w:tc>
        <w:tc>
          <w:tcPr>
            <w:tcW w:w="1559" w:type="dxa"/>
            <w:tcBorders>
              <w:top w:val="nil"/>
              <w:left w:val="single" w:sz="4" w:space="0" w:color="FFFFFF" w:themeColor="background1"/>
              <w:bottom w:val="nil"/>
              <w:right w:val="nil"/>
            </w:tcBorders>
            <w:noWrap/>
            <w:vAlign w:val="center"/>
            <w:hideMark/>
          </w:tcPr>
          <w:p w14:paraId="3F08BD9D" w14:textId="77777777" w:rsidR="000C26EB" w:rsidRPr="001E7605" w:rsidRDefault="000C26EB" w:rsidP="00CF3C6D">
            <w:pPr>
              <w:jc w:val="both"/>
              <w:rPr>
                <w:rFonts w:ascii="Times New Roman" w:eastAsia="Times New Roman" w:hAnsi="Times New Roman" w:cs="Times New Roman"/>
                <w:sz w:val="20"/>
                <w:szCs w:val="20"/>
                <w:lang w:val="en-GB" w:eastAsia="en-GB"/>
              </w:rPr>
            </w:pPr>
          </w:p>
        </w:tc>
        <w:tc>
          <w:tcPr>
            <w:tcW w:w="1240" w:type="dxa"/>
            <w:tcBorders>
              <w:top w:val="nil"/>
              <w:left w:val="nil"/>
              <w:bottom w:val="nil"/>
              <w:right w:val="nil"/>
            </w:tcBorders>
            <w:noWrap/>
            <w:vAlign w:val="center"/>
            <w:hideMark/>
          </w:tcPr>
          <w:p w14:paraId="4D5EFAD0"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280" w:type="dxa"/>
            <w:tcBorders>
              <w:top w:val="nil"/>
              <w:left w:val="nil"/>
              <w:bottom w:val="nil"/>
              <w:right w:val="nil"/>
            </w:tcBorders>
            <w:noWrap/>
            <w:vAlign w:val="center"/>
            <w:hideMark/>
          </w:tcPr>
          <w:p w14:paraId="4FC8E20A"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480" w:type="dxa"/>
            <w:tcBorders>
              <w:top w:val="nil"/>
              <w:left w:val="nil"/>
              <w:bottom w:val="nil"/>
              <w:right w:val="single" w:sz="4" w:space="0" w:color="auto"/>
            </w:tcBorders>
            <w:noWrap/>
            <w:vAlign w:val="center"/>
            <w:hideMark/>
          </w:tcPr>
          <w:p w14:paraId="689489B9"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r>
      <w:tr w:rsidR="000C26EB" w:rsidRPr="001E7605" w14:paraId="73BBEBB1"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7F9B6567"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Alcoholism</w:t>
            </w:r>
          </w:p>
        </w:tc>
        <w:tc>
          <w:tcPr>
            <w:tcW w:w="1559" w:type="dxa"/>
            <w:tcBorders>
              <w:top w:val="nil"/>
              <w:left w:val="single" w:sz="4" w:space="0" w:color="FFFFFF" w:themeColor="background1"/>
              <w:bottom w:val="nil"/>
              <w:right w:val="nil"/>
            </w:tcBorders>
            <w:noWrap/>
            <w:vAlign w:val="center"/>
            <w:hideMark/>
          </w:tcPr>
          <w:p w14:paraId="078E1130" w14:textId="77777777" w:rsidR="000C26EB" w:rsidRPr="001E7605" w:rsidRDefault="000C26EB" w:rsidP="00CF3C6D">
            <w:pPr>
              <w:jc w:val="both"/>
              <w:rPr>
                <w:rFonts w:ascii="Garamond" w:eastAsia="Times New Roman" w:hAnsi="Garamond" w:cs="Calibri"/>
                <w:color w:val="000000"/>
                <w:sz w:val="22"/>
                <w:szCs w:val="22"/>
                <w:lang w:val="en-GB" w:eastAsia="en-GB"/>
              </w:rPr>
            </w:pPr>
          </w:p>
        </w:tc>
        <w:tc>
          <w:tcPr>
            <w:tcW w:w="1240" w:type="dxa"/>
            <w:tcBorders>
              <w:top w:val="nil"/>
              <w:left w:val="nil"/>
              <w:bottom w:val="nil"/>
              <w:right w:val="nil"/>
            </w:tcBorders>
            <w:noWrap/>
            <w:vAlign w:val="center"/>
            <w:hideMark/>
          </w:tcPr>
          <w:p w14:paraId="70362026"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280" w:type="dxa"/>
            <w:tcBorders>
              <w:top w:val="nil"/>
              <w:left w:val="nil"/>
              <w:bottom w:val="nil"/>
              <w:right w:val="nil"/>
            </w:tcBorders>
            <w:noWrap/>
            <w:vAlign w:val="center"/>
            <w:hideMark/>
          </w:tcPr>
          <w:p w14:paraId="677C371B"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480" w:type="dxa"/>
            <w:tcBorders>
              <w:top w:val="nil"/>
              <w:left w:val="nil"/>
              <w:bottom w:val="nil"/>
              <w:right w:val="single" w:sz="4" w:space="0" w:color="auto"/>
            </w:tcBorders>
            <w:noWrap/>
            <w:vAlign w:val="center"/>
            <w:hideMark/>
          </w:tcPr>
          <w:p w14:paraId="235AF6D4"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r>
      <w:tr w:rsidR="000C26EB" w:rsidRPr="001E7605" w14:paraId="05789DA2"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0B4DECD9"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GB" w:eastAsia="en-GB"/>
              </w:rPr>
              <w:t xml:space="preserve">             No (</w:t>
            </w:r>
            <w:r w:rsidRPr="001E7605">
              <w:rPr>
                <w:rFonts w:ascii="Garamond" w:eastAsia="Times New Roman" w:hAnsi="Garamond" w:cs="Calibri"/>
                <w:i/>
                <w:iCs/>
                <w:color w:val="000000"/>
                <w:sz w:val="22"/>
                <w:szCs w:val="22"/>
                <w:lang w:val="en-GB" w:eastAsia="en-GB"/>
              </w:rPr>
              <w:t>n)</w:t>
            </w:r>
            <w:r w:rsidRPr="001E7605">
              <w:rPr>
                <w:rFonts w:ascii="Garamond" w:eastAsia="Times New Roman" w:hAnsi="Garamond" w:cs="Calibri"/>
                <w:color w:val="000000"/>
                <w:sz w:val="22"/>
                <w:szCs w:val="22"/>
                <w:lang w:val="en-GB" w:eastAsia="en-GB"/>
              </w:rPr>
              <w:t xml:space="preserve">                                  </w:t>
            </w:r>
          </w:p>
        </w:tc>
        <w:tc>
          <w:tcPr>
            <w:tcW w:w="1559" w:type="dxa"/>
            <w:tcBorders>
              <w:top w:val="nil"/>
              <w:left w:val="single" w:sz="4" w:space="0" w:color="FFFFFF" w:themeColor="background1"/>
              <w:bottom w:val="nil"/>
              <w:right w:val="nil"/>
            </w:tcBorders>
            <w:noWrap/>
            <w:vAlign w:val="center"/>
            <w:hideMark/>
          </w:tcPr>
          <w:p w14:paraId="47840AF0"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33</w:t>
            </w:r>
          </w:p>
        </w:tc>
        <w:tc>
          <w:tcPr>
            <w:tcW w:w="1240" w:type="dxa"/>
            <w:tcBorders>
              <w:top w:val="nil"/>
              <w:left w:val="nil"/>
              <w:bottom w:val="nil"/>
              <w:right w:val="nil"/>
            </w:tcBorders>
            <w:noWrap/>
            <w:vAlign w:val="center"/>
            <w:hideMark/>
          </w:tcPr>
          <w:p w14:paraId="2FA4655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15</w:t>
            </w:r>
          </w:p>
        </w:tc>
        <w:tc>
          <w:tcPr>
            <w:tcW w:w="1280" w:type="dxa"/>
            <w:tcBorders>
              <w:top w:val="nil"/>
              <w:left w:val="nil"/>
              <w:bottom w:val="nil"/>
              <w:right w:val="nil"/>
            </w:tcBorders>
            <w:noWrap/>
            <w:vAlign w:val="center"/>
            <w:hideMark/>
          </w:tcPr>
          <w:p w14:paraId="50CF9CE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21</w:t>
            </w:r>
          </w:p>
        </w:tc>
        <w:tc>
          <w:tcPr>
            <w:tcW w:w="1480" w:type="dxa"/>
            <w:tcBorders>
              <w:top w:val="nil"/>
              <w:left w:val="nil"/>
              <w:bottom w:val="nil"/>
              <w:right w:val="single" w:sz="4" w:space="0" w:color="auto"/>
            </w:tcBorders>
            <w:noWrap/>
            <w:vAlign w:val="center"/>
            <w:hideMark/>
          </w:tcPr>
          <w:p w14:paraId="47C2566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2</w:t>
            </w:r>
          </w:p>
        </w:tc>
      </w:tr>
      <w:tr w:rsidR="000C26EB" w:rsidRPr="001E7605" w14:paraId="2AB73657"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7F4413E2"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 xml:space="preserve">             Ex-alcoholism (n)</w:t>
            </w:r>
          </w:p>
        </w:tc>
        <w:tc>
          <w:tcPr>
            <w:tcW w:w="1559" w:type="dxa"/>
            <w:tcBorders>
              <w:top w:val="nil"/>
              <w:left w:val="single" w:sz="4" w:space="0" w:color="FFFFFF" w:themeColor="background1"/>
              <w:bottom w:val="nil"/>
              <w:right w:val="nil"/>
            </w:tcBorders>
            <w:noWrap/>
            <w:vAlign w:val="center"/>
            <w:hideMark/>
          </w:tcPr>
          <w:p w14:paraId="71BBC29B"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240" w:type="dxa"/>
            <w:tcBorders>
              <w:top w:val="nil"/>
              <w:left w:val="nil"/>
              <w:bottom w:val="nil"/>
              <w:right w:val="nil"/>
            </w:tcBorders>
            <w:noWrap/>
            <w:vAlign w:val="center"/>
            <w:hideMark/>
          </w:tcPr>
          <w:p w14:paraId="4B2597BD"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280" w:type="dxa"/>
            <w:tcBorders>
              <w:top w:val="nil"/>
              <w:left w:val="nil"/>
              <w:bottom w:val="nil"/>
              <w:right w:val="nil"/>
            </w:tcBorders>
            <w:noWrap/>
            <w:vAlign w:val="center"/>
            <w:hideMark/>
          </w:tcPr>
          <w:p w14:paraId="7C3B08FF"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480" w:type="dxa"/>
            <w:tcBorders>
              <w:top w:val="nil"/>
              <w:left w:val="nil"/>
              <w:bottom w:val="nil"/>
              <w:right w:val="single" w:sz="4" w:space="0" w:color="auto"/>
            </w:tcBorders>
            <w:noWrap/>
            <w:vAlign w:val="center"/>
            <w:hideMark/>
          </w:tcPr>
          <w:p w14:paraId="7FD50895"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1ED03319"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51AC64F9" w14:textId="77777777" w:rsidR="000C26EB" w:rsidRPr="001E7605" w:rsidRDefault="000C26EB" w:rsidP="00CF3C6D">
            <w:pPr>
              <w:jc w:val="center"/>
              <w:rPr>
                <w:rFonts w:ascii="Garamond" w:eastAsia="Times New Roman" w:hAnsi="Garamond" w:cs="Calibri"/>
                <w:color w:val="000000"/>
                <w:sz w:val="22"/>
                <w:szCs w:val="22"/>
                <w:lang w:val="en-GB" w:eastAsia="en-GB"/>
              </w:rPr>
            </w:pPr>
          </w:p>
        </w:tc>
        <w:tc>
          <w:tcPr>
            <w:tcW w:w="1559" w:type="dxa"/>
            <w:tcBorders>
              <w:top w:val="nil"/>
              <w:left w:val="single" w:sz="4" w:space="0" w:color="FFFFFF" w:themeColor="background1"/>
              <w:bottom w:val="nil"/>
              <w:right w:val="nil"/>
            </w:tcBorders>
            <w:noWrap/>
            <w:vAlign w:val="center"/>
            <w:hideMark/>
          </w:tcPr>
          <w:p w14:paraId="5DAA753A" w14:textId="77777777" w:rsidR="000C26EB" w:rsidRPr="001E7605" w:rsidRDefault="000C26EB" w:rsidP="00CF3C6D">
            <w:pPr>
              <w:jc w:val="both"/>
              <w:rPr>
                <w:rFonts w:ascii="Times New Roman" w:eastAsia="Times New Roman" w:hAnsi="Times New Roman" w:cs="Times New Roman"/>
                <w:sz w:val="20"/>
                <w:szCs w:val="20"/>
                <w:lang w:val="en-GB" w:eastAsia="en-GB"/>
              </w:rPr>
            </w:pPr>
          </w:p>
        </w:tc>
        <w:tc>
          <w:tcPr>
            <w:tcW w:w="1240" w:type="dxa"/>
            <w:tcBorders>
              <w:top w:val="nil"/>
              <w:left w:val="nil"/>
              <w:bottom w:val="nil"/>
              <w:right w:val="nil"/>
            </w:tcBorders>
            <w:noWrap/>
            <w:vAlign w:val="center"/>
            <w:hideMark/>
          </w:tcPr>
          <w:p w14:paraId="6F602AED"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280" w:type="dxa"/>
            <w:tcBorders>
              <w:top w:val="nil"/>
              <w:left w:val="nil"/>
              <w:bottom w:val="nil"/>
              <w:right w:val="nil"/>
            </w:tcBorders>
            <w:noWrap/>
            <w:vAlign w:val="center"/>
            <w:hideMark/>
          </w:tcPr>
          <w:p w14:paraId="575BC5C6"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480" w:type="dxa"/>
            <w:tcBorders>
              <w:top w:val="nil"/>
              <w:left w:val="nil"/>
              <w:bottom w:val="nil"/>
              <w:right w:val="single" w:sz="4" w:space="0" w:color="auto"/>
            </w:tcBorders>
            <w:noWrap/>
            <w:vAlign w:val="center"/>
            <w:hideMark/>
          </w:tcPr>
          <w:p w14:paraId="76BF2A8C"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r>
      <w:tr w:rsidR="000C26EB" w:rsidRPr="001E7605" w14:paraId="781AB013"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344511D6"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Treatment</w:t>
            </w:r>
          </w:p>
        </w:tc>
        <w:tc>
          <w:tcPr>
            <w:tcW w:w="1559" w:type="dxa"/>
            <w:tcBorders>
              <w:top w:val="nil"/>
              <w:left w:val="single" w:sz="4" w:space="0" w:color="FFFFFF" w:themeColor="background1"/>
              <w:bottom w:val="nil"/>
              <w:right w:val="nil"/>
            </w:tcBorders>
            <w:noWrap/>
            <w:vAlign w:val="center"/>
            <w:hideMark/>
          </w:tcPr>
          <w:p w14:paraId="58CA0AB8" w14:textId="77777777" w:rsidR="000C26EB" w:rsidRPr="001E7605" w:rsidRDefault="000C26EB" w:rsidP="00CF3C6D">
            <w:pPr>
              <w:jc w:val="both"/>
              <w:rPr>
                <w:rFonts w:ascii="Garamond" w:eastAsia="Times New Roman" w:hAnsi="Garamond" w:cs="Calibri"/>
                <w:color w:val="000000"/>
                <w:sz w:val="22"/>
                <w:szCs w:val="22"/>
                <w:lang w:val="en-GB" w:eastAsia="en-GB"/>
              </w:rPr>
            </w:pPr>
          </w:p>
        </w:tc>
        <w:tc>
          <w:tcPr>
            <w:tcW w:w="1240" w:type="dxa"/>
            <w:tcBorders>
              <w:top w:val="nil"/>
              <w:left w:val="nil"/>
              <w:bottom w:val="nil"/>
              <w:right w:val="nil"/>
            </w:tcBorders>
            <w:noWrap/>
            <w:vAlign w:val="center"/>
            <w:hideMark/>
          </w:tcPr>
          <w:p w14:paraId="5A0A15BA"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280" w:type="dxa"/>
            <w:tcBorders>
              <w:top w:val="nil"/>
              <w:left w:val="nil"/>
              <w:bottom w:val="nil"/>
              <w:right w:val="nil"/>
            </w:tcBorders>
            <w:noWrap/>
            <w:vAlign w:val="center"/>
            <w:hideMark/>
          </w:tcPr>
          <w:p w14:paraId="4FF05517"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480" w:type="dxa"/>
            <w:tcBorders>
              <w:top w:val="nil"/>
              <w:left w:val="nil"/>
              <w:bottom w:val="nil"/>
              <w:right w:val="single" w:sz="4" w:space="0" w:color="auto"/>
            </w:tcBorders>
            <w:noWrap/>
            <w:vAlign w:val="center"/>
            <w:hideMark/>
          </w:tcPr>
          <w:p w14:paraId="51FD28FF"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r>
      <w:tr w:rsidR="000C26EB" w:rsidRPr="001E7605" w14:paraId="6ADA542E"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32E1C941"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color w:val="000000"/>
                <w:sz w:val="22"/>
                <w:szCs w:val="18"/>
                <w:lang w:val="en-US" w:eastAsia="en-GB"/>
              </w:rPr>
              <w:t>Beta blockers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1AF2A24D"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12</w:t>
            </w:r>
          </w:p>
        </w:tc>
        <w:tc>
          <w:tcPr>
            <w:tcW w:w="1240" w:type="dxa"/>
            <w:tcBorders>
              <w:top w:val="nil"/>
              <w:left w:val="nil"/>
              <w:bottom w:val="nil"/>
              <w:right w:val="nil"/>
            </w:tcBorders>
            <w:noWrap/>
            <w:vAlign w:val="center"/>
            <w:hideMark/>
          </w:tcPr>
          <w:p w14:paraId="694915B9"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11</w:t>
            </w:r>
          </w:p>
        </w:tc>
        <w:tc>
          <w:tcPr>
            <w:tcW w:w="1280" w:type="dxa"/>
            <w:tcBorders>
              <w:top w:val="nil"/>
              <w:left w:val="nil"/>
              <w:bottom w:val="nil"/>
              <w:right w:val="nil"/>
            </w:tcBorders>
            <w:noWrap/>
            <w:vAlign w:val="center"/>
            <w:hideMark/>
          </w:tcPr>
          <w:p w14:paraId="33D34B6D"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16</w:t>
            </w:r>
          </w:p>
        </w:tc>
        <w:tc>
          <w:tcPr>
            <w:tcW w:w="1480" w:type="dxa"/>
            <w:tcBorders>
              <w:top w:val="nil"/>
              <w:left w:val="nil"/>
              <w:bottom w:val="nil"/>
              <w:right w:val="single" w:sz="4" w:space="0" w:color="auto"/>
            </w:tcBorders>
            <w:noWrap/>
            <w:vAlign w:val="center"/>
            <w:hideMark/>
          </w:tcPr>
          <w:p w14:paraId="4C0159AE"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2</w:t>
            </w:r>
          </w:p>
        </w:tc>
      </w:tr>
      <w:tr w:rsidR="000C26EB" w:rsidRPr="001E7605" w14:paraId="772CB0E4"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54DC5F19"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color w:val="000000"/>
                <w:sz w:val="22"/>
                <w:szCs w:val="18"/>
                <w:lang w:val="en-US" w:eastAsia="en-GB"/>
              </w:rPr>
              <w:t>ACE inhibitors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25391BA0"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10</w:t>
            </w:r>
          </w:p>
        </w:tc>
        <w:tc>
          <w:tcPr>
            <w:tcW w:w="1240" w:type="dxa"/>
            <w:tcBorders>
              <w:top w:val="nil"/>
              <w:left w:val="nil"/>
              <w:bottom w:val="nil"/>
              <w:right w:val="nil"/>
            </w:tcBorders>
            <w:noWrap/>
            <w:vAlign w:val="center"/>
            <w:hideMark/>
          </w:tcPr>
          <w:p w14:paraId="1AE57EED"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4</w:t>
            </w:r>
          </w:p>
        </w:tc>
        <w:tc>
          <w:tcPr>
            <w:tcW w:w="1280" w:type="dxa"/>
            <w:tcBorders>
              <w:top w:val="nil"/>
              <w:left w:val="nil"/>
              <w:bottom w:val="nil"/>
              <w:right w:val="nil"/>
            </w:tcBorders>
            <w:noWrap/>
            <w:vAlign w:val="center"/>
            <w:hideMark/>
          </w:tcPr>
          <w:p w14:paraId="71430D9B"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5</w:t>
            </w:r>
          </w:p>
        </w:tc>
        <w:tc>
          <w:tcPr>
            <w:tcW w:w="1480" w:type="dxa"/>
            <w:tcBorders>
              <w:top w:val="nil"/>
              <w:left w:val="nil"/>
              <w:bottom w:val="nil"/>
              <w:right w:val="single" w:sz="4" w:space="0" w:color="auto"/>
            </w:tcBorders>
            <w:noWrap/>
            <w:vAlign w:val="center"/>
            <w:hideMark/>
          </w:tcPr>
          <w:p w14:paraId="346DE666"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r>
      <w:tr w:rsidR="000C26EB" w:rsidRPr="001E7605" w14:paraId="0F250D5A"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088B12DE"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color w:val="000000"/>
                <w:sz w:val="22"/>
                <w:szCs w:val="18"/>
                <w:lang w:val="en-US" w:eastAsia="en-GB"/>
              </w:rPr>
              <w:t xml:space="preserve">ARBs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 xml:space="preserve">    </w:t>
            </w:r>
          </w:p>
        </w:tc>
        <w:tc>
          <w:tcPr>
            <w:tcW w:w="1559" w:type="dxa"/>
            <w:tcBorders>
              <w:top w:val="nil"/>
              <w:left w:val="single" w:sz="4" w:space="0" w:color="FFFFFF" w:themeColor="background1"/>
              <w:bottom w:val="nil"/>
              <w:right w:val="nil"/>
            </w:tcBorders>
            <w:noWrap/>
            <w:vAlign w:val="center"/>
            <w:hideMark/>
          </w:tcPr>
          <w:p w14:paraId="5A5F81D3"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7</w:t>
            </w:r>
          </w:p>
        </w:tc>
        <w:tc>
          <w:tcPr>
            <w:tcW w:w="1240" w:type="dxa"/>
            <w:tcBorders>
              <w:top w:val="nil"/>
              <w:left w:val="nil"/>
              <w:bottom w:val="nil"/>
              <w:right w:val="nil"/>
            </w:tcBorders>
            <w:noWrap/>
            <w:vAlign w:val="center"/>
            <w:hideMark/>
          </w:tcPr>
          <w:p w14:paraId="1D0457D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3</w:t>
            </w:r>
          </w:p>
        </w:tc>
        <w:tc>
          <w:tcPr>
            <w:tcW w:w="1280" w:type="dxa"/>
            <w:tcBorders>
              <w:top w:val="nil"/>
              <w:left w:val="nil"/>
              <w:bottom w:val="nil"/>
              <w:right w:val="nil"/>
            </w:tcBorders>
            <w:noWrap/>
            <w:vAlign w:val="center"/>
            <w:hideMark/>
          </w:tcPr>
          <w:p w14:paraId="4AA9B070"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8</w:t>
            </w:r>
          </w:p>
        </w:tc>
        <w:tc>
          <w:tcPr>
            <w:tcW w:w="1480" w:type="dxa"/>
            <w:tcBorders>
              <w:top w:val="nil"/>
              <w:left w:val="nil"/>
              <w:bottom w:val="nil"/>
              <w:right w:val="single" w:sz="4" w:space="0" w:color="auto"/>
            </w:tcBorders>
            <w:noWrap/>
            <w:vAlign w:val="center"/>
            <w:hideMark/>
          </w:tcPr>
          <w:p w14:paraId="6AE28569"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64ECE8D7"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1B7DE115"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color w:val="000000"/>
                <w:sz w:val="22"/>
                <w:szCs w:val="18"/>
                <w:lang w:val="en-US" w:eastAsia="en-GB"/>
              </w:rPr>
              <w:t>Statins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47309CA0"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14</w:t>
            </w:r>
          </w:p>
        </w:tc>
        <w:tc>
          <w:tcPr>
            <w:tcW w:w="1240" w:type="dxa"/>
            <w:tcBorders>
              <w:top w:val="nil"/>
              <w:left w:val="nil"/>
              <w:bottom w:val="nil"/>
              <w:right w:val="nil"/>
            </w:tcBorders>
            <w:noWrap/>
            <w:vAlign w:val="center"/>
            <w:hideMark/>
          </w:tcPr>
          <w:p w14:paraId="2EF5703B"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9</w:t>
            </w:r>
          </w:p>
        </w:tc>
        <w:tc>
          <w:tcPr>
            <w:tcW w:w="1280" w:type="dxa"/>
            <w:tcBorders>
              <w:top w:val="nil"/>
              <w:left w:val="nil"/>
              <w:bottom w:val="nil"/>
              <w:right w:val="nil"/>
            </w:tcBorders>
            <w:noWrap/>
            <w:vAlign w:val="center"/>
            <w:hideMark/>
          </w:tcPr>
          <w:p w14:paraId="18DF5390"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17</w:t>
            </w:r>
          </w:p>
        </w:tc>
        <w:tc>
          <w:tcPr>
            <w:tcW w:w="1480" w:type="dxa"/>
            <w:tcBorders>
              <w:top w:val="nil"/>
              <w:left w:val="nil"/>
              <w:bottom w:val="nil"/>
              <w:right w:val="single" w:sz="4" w:space="0" w:color="auto"/>
            </w:tcBorders>
            <w:noWrap/>
            <w:vAlign w:val="center"/>
            <w:hideMark/>
          </w:tcPr>
          <w:p w14:paraId="4A9583C5"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2</w:t>
            </w:r>
          </w:p>
        </w:tc>
      </w:tr>
      <w:tr w:rsidR="000C26EB" w:rsidRPr="001E7605" w14:paraId="5BCE267C"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6FAD7CDC"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color w:val="000000"/>
                <w:sz w:val="22"/>
                <w:szCs w:val="18"/>
                <w:lang w:val="en-US" w:eastAsia="en-GB"/>
              </w:rPr>
              <w:t>Acetylsalicylic acid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6D9BEE5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11</w:t>
            </w:r>
          </w:p>
        </w:tc>
        <w:tc>
          <w:tcPr>
            <w:tcW w:w="1240" w:type="dxa"/>
            <w:tcBorders>
              <w:top w:val="nil"/>
              <w:left w:val="nil"/>
              <w:bottom w:val="nil"/>
              <w:right w:val="nil"/>
            </w:tcBorders>
            <w:noWrap/>
            <w:vAlign w:val="center"/>
            <w:hideMark/>
          </w:tcPr>
          <w:p w14:paraId="121296EF"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4</w:t>
            </w:r>
          </w:p>
        </w:tc>
        <w:tc>
          <w:tcPr>
            <w:tcW w:w="1280" w:type="dxa"/>
            <w:tcBorders>
              <w:top w:val="nil"/>
              <w:left w:val="nil"/>
              <w:bottom w:val="nil"/>
              <w:right w:val="nil"/>
            </w:tcBorders>
            <w:noWrap/>
            <w:vAlign w:val="center"/>
            <w:hideMark/>
          </w:tcPr>
          <w:p w14:paraId="6E350BE3"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3</w:t>
            </w:r>
          </w:p>
        </w:tc>
        <w:tc>
          <w:tcPr>
            <w:tcW w:w="1480" w:type="dxa"/>
            <w:tcBorders>
              <w:top w:val="nil"/>
              <w:left w:val="nil"/>
              <w:bottom w:val="nil"/>
              <w:right w:val="single" w:sz="4" w:space="0" w:color="auto"/>
            </w:tcBorders>
            <w:noWrap/>
            <w:vAlign w:val="center"/>
            <w:hideMark/>
          </w:tcPr>
          <w:p w14:paraId="04160518"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3BB39548"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0EA748CE"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color w:val="000000"/>
                <w:sz w:val="22"/>
                <w:szCs w:val="18"/>
                <w:lang w:val="en-US" w:eastAsia="en-GB"/>
              </w:rPr>
              <w:t>Digoxin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42A0AD93"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240" w:type="dxa"/>
            <w:tcBorders>
              <w:top w:val="nil"/>
              <w:left w:val="nil"/>
              <w:bottom w:val="nil"/>
              <w:right w:val="nil"/>
            </w:tcBorders>
            <w:noWrap/>
            <w:vAlign w:val="center"/>
            <w:hideMark/>
          </w:tcPr>
          <w:p w14:paraId="292FB6B9"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280" w:type="dxa"/>
            <w:tcBorders>
              <w:top w:val="nil"/>
              <w:left w:val="nil"/>
              <w:bottom w:val="nil"/>
              <w:right w:val="nil"/>
            </w:tcBorders>
            <w:noWrap/>
            <w:vAlign w:val="center"/>
            <w:hideMark/>
          </w:tcPr>
          <w:p w14:paraId="26819447"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5</w:t>
            </w:r>
          </w:p>
        </w:tc>
        <w:tc>
          <w:tcPr>
            <w:tcW w:w="1480" w:type="dxa"/>
            <w:tcBorders>
              <w:top w:val="nil"/>
              <w:left w:val="nil"/>
              <w:bottom w:val="nil"/>
              <w:right w:val="single" w:sz="4" w:space="0" w:color="auto"/>
            </w:tcBorders>
            <w:noWrap/>
            <w:vAlign w:val="center"/>
            <w:hideMark/>
          </w:tcPr>
          <w:p w14:paraId="54221CB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0C1CDAD0"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7372C2F8"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color w:val="000000"/>
                <w:sz w:val="22"/>
                <w:szCs w:val="18"/>
                <w:lang w:val="en-US" w:eastAsia="en-GB"/>
              </w:rPr>
              <w:t>Ivabradine (</w:t>
            </w:r>
            <w:r w:rsidRPr="001E7605">
              <w:rPr>
                <w:rFonts w:ascii="Garamond" w:eastAsia="Times New Roman" w:hAnsi="Garamond" w:cs="Calibri"/>
                <w:i/>
                <w:iCs/>
                <w:color w:val="000000"/>
                <w:sz w:val="22"/>
                <w:szCs w:val="22"/>
                <w:lang w:val="en-US" w:eastAsia="en-GB"/>
              </w:rPr>
              <w:t>n)</w:t>
            </w:r>
          </w:p>
        </w:tc>
        <w:tc>
          <w:tcPr>
            <w:tcW w:w="1559" w:type="dxa"/>
            <w:tcBorders>
              <w:top w:val="nil"/>
              <w:left w:val="single" w:sz="4" w:space="0" w:color="FFFFFF" w:themeColor="background1"/>
              <w:bottom w:val="nil"/>
              <w:right w:val="nil"/>
            </w:tcBorders>
            <w:noWrap/>
            <w:vAlign w:val="center"/>
            <w:hideMark/>
          </w:tcPr>
          <w:p w14:paraId="14AE9FCE"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240" w:type="dxa"/>
            <w:tcBorders>
              <w:top w:val="nil"/>
              <w:left w:val="nil"/>
              <w:bottom w:val="nil"/>
              <w:right w:val="nil"/>
            </w:tcBorders>
            <w:noWrap/>
            <w:vAlign w:val="center"/>
            <w:hideMark/>
          </w:tcPr>
          <w:p w14:paraId="0A35511F"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280" w:type="dxa"/>
            <w:tcBorders>
              <w:top w:val="nil"/>
              <w:left w:val="nil"/>
              <w:bottom w:val="nil"/>
              <w:right w:val="nil"/>
            </w:tcBorders>
            <w:noWrap/>
            <w:vAlign w:val="center"/>
            <w:hideMark/>
          </w:tcPr>
          <w:p w14:paraId="3A75B6FA"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480" w:type="dxa"/>
            <w:tcBorders>
              <w:top w:val="nil"/>
              <w:left w:val="nil"/>
              <w:bottom w:val="nil"/>
              <w:right w:val="single" w:sz="4" w:space="0" w:color="auto"/>
            </w:tcBorders>
            <w:noWrap/>
            <w:vAlign w:val="center"/>
            <w:hideMark/>
          </w:tcPr>
          <w:p w14:paraId="50F96ECF"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61722C01"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4A030859"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color w:val="000000"/>
                <w:sz w:val="22"/>
                <w:szCs w:val="18"/>
                <w:lang w:val="en-US" w:eastAsia="en-GB"/>
              </w:rPr>
              <w:t>Calcium antagonists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71640D4E"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2</w:t>
            </w:r>
          </w:p>
        </w:tc>
        <w:tc>
          <w:tcPr>
            <w:tcW w:w="1240" w:type="dxa"/>
            <w:tcBorders>
              <w:top w:val="nil"/>
              <w:left w:val="nil"/>
              <w:bottom w:val="nil"/>
              <w:right w:val="nil"/>
            </w:tcBorders>
            <w:noWrap/>
            <w:vAlign w:val="center"/>
            <w:hideMark/>
          </w:tcPr>
          <w:p w14:paraId="265F5469"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3</w:t>
            </w:r>
          </w:p>
        </w:tc>
        <w:tc>
          <w:tcPr>
            <w:tcW w:w="1280" w:type="dxa"/>
            <w:tcBorders>
              <w:top w:val="nil"/>
              <w:left w:val="nil"/>
              <w:bottom w:val="nil"/>
              <w:right w:val="nil"/>
            </w:tcBorders>
            <w:noWrap/>
            <w:vAlign w:val="center"/>
            <w:hideMark/>
          </w:tcPr>
          <w:p w14:paraId="3236095A"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8</w:t>
            </w:r>
          </w:p>
        </w:tc>
        <w:tc>
          <w:tcPr>
            <w:tcW w:w="1480" w:type="dxa"/>
            <w:tcBorders>
              <w:top w:val="nil"/>
              <w:left w:val="nil"/>
              <w:bottom w:val="nil"/>
              <w:right w:val="single" w:sz="4" w:space="0" w:color="auto"/>
            </w:tcBorders>
            <w:noWrap/>
            <w:vAlign w:val="center"/>
            <w:hideMark/>
          </w:tcPr>
          <w:p w14:paraId="5E1186ED"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r>
      <w:tr w:rsidR="000C26EB" w:rsidRPr="001E7605" w14:paraId="19117114"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740F1081"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color w:val="000000"/>
                <w:sz w:val="22"/>
                <w:szCs w:val="18"/>
                <w:lang w:val="en-US" w:eastAsia="en-GB"/>
              </w:rPr>
              <w:t>Loop diuretics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00F92585"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4</w:t>
            </w:r>
          </w:p>
        </w:tc>
        <w:tc>
          <w:tcPr>
            <w:tcW w:w="1240" w:type="dxa"/>
            <w:tcBorders>
              <w:top w:val="nil"/>
              <w:left w:val="nil"/>
              <w:bottom w:val="nil"/>
              <w:right w:val="nil"/>
            </w:tcBorders>
            <w:noWrap/>
            <w:vAlign w:val="center"/>
            <w:hideMark/>
          </w:tcPr>
          <w:p w14:paraId="71210E25"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6</w:t>
            </w:r>
          </w:p>
        </w:tc>
        <w:tc>
          <w:tcPr>
            <w:tcW w:w="1280" w:type="dxa"/>
            <w:tcBorders>
              <w:top w:val="nil"/>
              <w:left w:val="nil"/>
              <w:bottom w:val="nil"/>
              <w:right w:val="nil"/>
            </w:tcBorders>
            <w:noWrap/>
            <w:vAlign w:val="center"/>
            <w:hideMark/>
          </w:tcPr>
          <w:p w14:paraId="1C288F7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16</w:t>
            </w:r>
          </w:p>
        </w:tc>
        <w:tc>
          <w:tcPr>
            <w:tcW w:w="1480" w:type="dxa"/>
            <w:tcBorders>
              <w:top w:val="nil"/>
              <w:left w:val="nil"/>
              <w:bottom w:val="nil"/>
              <w:right w:val="single" w:sz="4" w:space="0" w:color="auto"/>
            </w:tcBorders>
            <w:noWrap/>
            <w:vAlign w:val="center"/>
            <w:hideMark/>
          </w:tcPr>
          <w:p w14:paraId="5B139394"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r>
      <w:tr w:rsidR="000C26EB" w:rsidRPr="001E7605" w14:paraId="20988A7B"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4D2BDDB6"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color w:val="000000"/>
                <w:sz w:val="22"/>
                <w:szCs w:val="18"/>
                <w:lang w:val="en-US" w:eastAsia="en-GB"/>
              </w:rPr>
              <w:t>Spironolactone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26E579F7"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240" w:type="dxa"/>
            <w:tcBorders>
              <w:top w:val="nil"/>
              <w:left w:val="nil"/>
              <w:bottom w:val="nil"/>
              <w:right w:val="nil"/>
            </w:tcBorders>
            <w:noWrap/>
            <w:vAlign w:val="center"/>
            <w:hideMark/>
          </w:tcPr>
          <w:p w14:paraId="4C84D35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4</w:t>
            </w:r>
          </w:p>
        </w:tc>
        <w:tc>
          <w:tcPr>
            <w:tcW w:w="1280" w:type="dxa"/>
            <w:tcBorders>
              <w:top w:val="nil"/>
              <w:left w:val="nil"/>
              <w:bottom w:val="nil"/>
              <w:right w:val="nil"/>
            </w:tcBorders>
            <w:noWrap/>
            <w:vAlign w:val="center"/>
            <w:hideMark/>
          </w:tcPr>
          <w:p w14:paraId="1EABBB6C"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7</w:t>
            </w:r>
          </w:p>
        </w:tc>
        <w:tc>
          <w:tcPr>
            <w:tcW w:w="1480" w:type="dxa"/>
            <w:tcBorders>
              <w:top w:val="nil"/>
              <w:left w:val="nil"/>
              <w:bottom w:val="nil"/>
              <w:right w:val="single" w:sz="4" w:space="0" w:color="auto"/>
            </w:tcBorders>
            <w:noWrap/>
            <w:vAlign w:val="center"/>
            <w:hideMark/>
          </w:tcPr>
          <w:p w14:paraId="3D41CE6A"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r>
      <w:tr w:rsidR="000C26EB" w:rsidRPr="001E7605" w14:paraId="4A5BD2B8" w14:textId="77777777" w:rsidTr="00C02FD2">
        <w:trPr>
          <w:trHeight w:val="360"/>
        </w:trPr>
        <w:tc>
          <w:tcPr>
            <w:tcW w:w="3261" w:type="dxa"/>
            <w:tcBorders>
              <w:top w:val="nil"/>
              <w:left w:val="single" w:sz="4" w:space="0" w:color="auto"/>
              <w:bottom w:val="nil"/>
              <w:right w:val="single" w:sz="4" w:space="0" w:color="FFFFFF" w:themeColor="background1"/>
            </w:tcBorders>
            <w:noWrap/>
            <w:vAlign w:val="center"/>
            <w:hideMark/>
          </w:tcPr>
          <w:p w14:paraId="17055F96"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color w:val="000000"/>
                <w:sz w:val="22"/>
                <w:szCs w:val="18"/>
                <w:lang w:val="en-US" w:eastAsia="en-GB"/>
              </w:rPr>
              <w:t>P</w:t>
            </w:r>
            <w:r w:rsidRPr="001E7605">
              <w:rPr>
                <w:rFonts w:ascii="Garamond" w:eastAsia="Times New Roman" w:hAnsi="Garamond" w:cs="Calibri"/>
                <w:color w:val="000000"/>
                <w:sz w:val="22"/>
                <w:szCs w:val="22"/>
                <w:vertAlign w:val="subscript"/>
                <w:lang w:val="en-US" w:eastAsia="en-GB"/>
              </w:rPr>
              <w:t>2</w:t>
            </w:r>
            <w:r w:rsidRPr="001E7605">
              <w:rPr>
                <w:rFonts w:ascii="Garamond" w:eastAsia="Times New Roman" w:hAnsi="Garamond" w:cs="Calibri"/>
                <w:color w:val="000000"/>
                <w:sz w:val="22"/>
                <w:szCs w:val="22"/>
                <w:lang w:val="en-US" w:eastAsia="en-GB"/>
              </w:rPr>
              <w:t>Y</w:t>
            </w:r>
            <w:r w:rsidRPr="001E7605">
              <w:rPr>
                <w:rFonts w:ascii="Garamond" w:eastAsia="Times New Roman" w:hAnsi="Garamond" w:cs="Calibri"/>
                <w:color w:val="000000"/>
                <w:sz w:val="22"/>
                <w:szCs w:val="22"/>
                <w:vertAlign w:val="subscript"/>
                <w:lang w:val="en-US" w:eastAsia="en-GB"/>
              </w:rPr>
              <w:t xml:space="preserve">12 </w:t>
            </w:r>
            <w:r w:rsidRPr="001E7605">
              <w:rPr>
                <w:rFonts w:ascii="Garamond" w:eastAsia="Times New Roman" w:hAnsi="Garamond" w:cs="Calibri"/>
                <w:color w:val="000000"/>
                <w:sz w:val="22"/>
                <w:szCs w:val="22"/>
                <w:lang w:val="en-US" w:eastAsia="en-GB"/>
              </w:rPr>
              <w:t>receptor blockers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4430BB3C"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3</w:t>
            </w:r>
          </w:p>
        </w:tc>
        <w:tc>
          <w:tcPr>
            <w:tcW w:w="1240" w:type="dxa"/>
            <w:tcBorders>
              <w:top w:val="nil"/>
              <w:left w:val="nil"/>
              <w:bottom w:val="nil"/>
              <w:right w:val="nil"/>
            </w:tcBorders>
            <w:noWrap/>
            <w:vAlign w:val="center"/>
            <w:hideMark/>
          </w:tcPr>
          <w:p w14:paraId="1C8BBA0D"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280" w:type="dxa"/>
            <w:tcBorders>
              <w:top w:val="nil"/>
              <w:left w:val="nil"/>
              <w:bottom w:val="nil"/>
              <w:right w:val="nil"/>
            </w:tcBorders>
            <w:noWrap/>
            <w:vAlign w:val="center"/>
            <w:hideMark/>
          </w:tcPr>
          <w:p w14:paraId="376D429D"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480" w:type="dxa"/>
            <w:tcBorders>
              <w:top w:val="nil"/>
              <w:left w:val="nil"/>
              <w:bottom w:val="nil"/>
              <w:right w:val="single" w:sz="4" w:space="0" w:color="auto"/>
            </w:tcBorders>
            <w:noWrap/>
            <w:vAlign w:val="center"/>
            <w:hideMark/>
          </w:tcPr>
          <w:p w14:paraId="75A15C38"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6251EA78"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3FAFB8C8"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Oral </w:t>
            </w:r>
            <w:proofErr w:type="spellStart"/>
            <w:r w:rsidRPr="001E7605">
              <w:rPr>
                <w:rFonts w:ascii="Garamond" w:eastAsia="Times New Roman" w:hAnsi="Garamond" w:cs="Calibri"/>
                <w:color w:val="000000"/>
                <w:sz w:val="22"/>
                <w:szCs w:val="18"/>
                <w:lang w:eastAsia="en-GB"/>
              </w:rPr>
              <w:t>anticoagulants</w:t>
            </w:r>
            <w:proofErr w:type="spellEnd"/>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i/>
                <w:iCs/>
                <w:color w:val="000000"/>
                <w:sz w:val="22"/>
                <w:szCs w:val="22"/>
                <w:lang w:eastAsia="en-GB"/>
              </w:rPr>
              <w:t>n</w:t>
            </w:r>
            <w:r w:rsidRPr="001E7605">
              <w:rPr>
                <w:rFonts w:ascii="Garamond" w:eastAsia="Times New Roman" w:hAnsi="Garamond" w:cs="Calibri"/>
                <w:color w:val="000000"/>
                <w:sz w:val="22"/>
                <w:szCs w:val="22"/>
                <w:lang w:eastAsia="en-GB"/>
              </w:rPr>
              <w:t>)</w:t>
            </w:r>
          </w:p>
        </w:tc>
        <w:tc>
          <w:tcPr>
            <w:tcW w:w="1559" w:type="dxa"/>
            <w:tcBorders>
              <w:top w:val="nil"/>
              <w:left w:val="single" w:sz="4" w:space="0" w:color="FFFFFF" w:themeColor="background1"/>
              <w:bottom w:val="nil"/>
              <w:right w:val="nil"/>
            </w:tcBorders>
            <w:noWrap/>
            <w:vAlign w:val="center"/>
            <w:hideMark/>
          </w:tcPr>
          <w:p w14:paraId="5350A5A0"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240" w:type="dxa"/>
            <w:tcBorders>
              <w:top w:val="nil"/>
              <w:left w:val="nil"/>
              <w:bottom w:val="nil"/>
              <w:right w:val="nil"/>
            </w:tcBorders>
            <w:noWrap/>
            <w:vAlign w:val="center"/>
            <w:hideMark/>
          </w:tcPr>
          <w:p w14:paraId="57EEC437"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12</w:t>
            </w:r>
          </w:p>
        </w:tc>
        <w:tc>
          <w:tcPr>
            <w:tcW w:w="1280" w:type="dxa"/>
            <w:tcBorders>
              <w:top w:val="nil"/>
              <w:left w:val="nil"/>
              <w:bottom w:val="nil"/>
              <w:right w:val="nil"/>
            </w:tcBorders>
            <w:noWrap/>
            <w:vAlign w:val="center"/>
            <w:hideMark/>
          </w:tcPr>
          <w:p w14:paraId="7DEA4AB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22</w:t>
            </w:r>
          </w:p>
        </w:tc>
        <w:tc>
          <w:tcPr>
            <w:tcW w:w="1480" w:type="dxa"/>
            <w:tcBorders>
              <w:top w:val="nil"/>
              <w:left w:val="nil"/>
              <w:bottom w:val="nil"/>
              <w:right w:val="single" w:sz="4" w:space="0" w:color="auto"/>
            </w:tcBorders>
            <w:noWrap/>
            <w:vAlign w:val="center"/>
            <w:hideMark/>
          </w:tcPr>
          <w:p w14:paraId="20406AE7"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2</w:t>
            </w:r>
          </w:p>
        </w:tc>
      </w:tr>
      <w:tr w:rsidR="000C26EB" w:rsidRPr="001E7605" w14:paraId="294F3CE3"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7B9CF387"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w:t>
            </w:r>
            <w:proofErr w:type="spellStart"/>
            <w:r w:rsidRPr="001E7605">
              <w:rPr>
                <w:rFonts w:ascii="Garamond" w:eastAsia="Times New Roman" w:hAnsi="Garamond" w:cs="Calibri"/>
                <w:color w:val="000000"/>
                <w:sz w:val="22"/>
                <w:szCs w:val="18"/>
                <w:lang w:eastAsia="en-GB"/>
              </w:rPr>
              <w:t>Amiodarone</w:t>
            </w:r>
            <w:proofErr w:type="spellEnd"/>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i/>
                <w:iCs/>
                <w:color w:val="000000"/>
                <w:sz w:val="22"/>
                <w:szCs w:val="22"/>
                <w:lang w:eastAsia="en-GB"/>
              </w:rPr>
              <w:t>n</w:t>
            </w:r>
            <w:r w:rsidRPr="001E7605">
              <w:rPr>
                <w:rFonts w:ascii="Garamond" w:eastAsia="Times New Roman" w:hAnsi="Garamond" w:cs="Calibri"/>
                <w:color w:val="000000"/>
                <w:sz w:val="22"/>
                <w:szCs w:val="22"/>
                <w:lang w:eastAsia="en-GB"/>
              </w:rPr>
              <w:t>)</w:t>
            </w:r>
          </w:p>
        </w:tc>
        <w:tc>
          <w:tcPr>
            <w:tcW w:w="1559" w:type="dxa"/>
            <w:tcBorders>
              <w:top w:val="nil"/>
              <w:left w:val="single" w:sz="4" w:space="0" w:color="FFFFFF" w:themeColor="background1"/>
              <w:bottom w:val="nil"/>
              <w:right w:val="nil"/>
            </w:tcBorders>
            <w:noWrap/>
            <w:vAlign w:val="center"/>
            <w:hideMark/>
          </w:tcPr>
          <w:p w14:paraId="4F377E80"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240" w:type="dxa"/>
            <w:tcBorders>
              <w:top w:val="nil"/>
              <w:left w:val="nil"/>
              <w:bottom w:val="nil"/>
              <w:right w:val="nil"/>
            </w:tcBorders>
            <w:noWrap/>
            <w:vAlign w:val="center"/>
            <w:hideMark/>
          </w:tcPr>
          <w:p w14:paraId="1EFCC31A"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2</w:t>
            </w:r>
          </w:p>
        </w:tc>
        <w:tc>
          <w:tcPr>
            <w:tcW w:w="1280" w:type="dxa"/>
            <w:tcBorders>
              <w:top w:val="nil"/>
              <w:left w:val="nil"/>
              <w:bottom w:val="nil"/>
              <w:right w:val="nil"/>
            </w:tcBorders>
            <w:noWrap/>
            <w:vAlign w:val="center"/>
            <w:hideMark/>
          </w:tcPr>
          <w:p w14:paraId="61D584AD"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480" w:type="dxa"/>
            <w:tcBorders>
              <w:top w:val="nil"/>
              <w:left w:val="nil"/>
              <w:bottom w:val="nil"/>
              <w:right w:val="single" w:sz="4" w:space="0" w:color="auto"/>
            </w:tcBorders>
            <w:noWrap/>
            <w:vAlign w:val="center"/>
            <w:hideMark/>
          </w:tcPr>
          <w:p w14:paraId="574FBE95"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r>
      <w:tr w:rsidR="000C26EB" w:rsidRPr="001E7605" w14:paraId="654604D6"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5FDF9360"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color w:val="000000"/>
                <w:sz w:val="22"/>
                <w:szCs w:val="18"/>
                <w:lang w:val="en-US" w:eastAsia="en-GB"/>
              </w:rPr>
              <w:t>Flecainide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1F25AB95"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240" w:type="dxa"/>
            <w:tcBorders>
              <w:top w:val="nil"/>
              <w:left w:val="nil"/>
              <w:bottom w:val="nil"/>
              <w:right w:val="nil"/>
            </w:tcBorders>
            <w:noWrap/>
            <w:vAlign w:val="center"/>
            <w:hideMark/>
          </w:tcPr>
          <w:p w14:paraId="03344794"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280" w:type="dxa"/>
            <w:tcBorders>
              <w:top w:val="nil"/>
              <w:left w:val="nil"/>
              <w:bottom w:val="nil"/>
              <w:right w:val="nil"/>
            </w:tcBorders>
            <w:noWrap/>
            <w:vAlign w:val="center"/>
            <w:hideMark/>
          </w:tcPr>
          <w:p w14:paraId="07AAA115"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480" w:type="dxa"/>
            <w:tcBorders>
              <w:top w:val="nil"/>
              <w:left w:val="nil"/>
              <w:bottom w:val="nil"/>
              <w:right w:val="single" w:sz="4" w:space="0" w:color="auto"/>
            </w:tcBorders>
            <w:noWrap/>
            <w:vAlign w:val="center"/>
            <w:hideMark/>
          </w:tcPr>
          <w:p w14:paraId="37F24B78"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468E05CB"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4A3476E2" w14:textId="77777777" w:rsidR="000C26EB" w:rsidRPr="001E7605" w:rsidRDefault="000C26EB" w:rsidP="00CF3C6D">
            <w:pPr>
              <w:jc w:val="center"/>
              <w:rPr>
                <w:rFonts w:ascii="Garamond" w:eastAsia="Times New Roman" w:hAnsi="Garamond" w:cs="Calibri"/>
                <w:color w:val="000000"/>
                <w:sz w:val="22"/>
                <w:szCs w:val="22"/>
                <w:lang w:val="en-GB" w:eastAsia="en-GB"/>
              </w:rPr>
            </w:pPr>
          </w:p>
        </w:tc>
        <w:tc>
          <w:tcPr>
            <w:tcW w:w="1559" w:type="dxa"/>
            <w:tcBorders>
              <w:top w:val="nil"/>
              <w:left w:val="single" w:sz="4" w:space="0" w:color="FFFFFF" w:themeColor="background1"/>
              <w:bottom w:val="nil"/>
              <w:right w:val="nil"/>
            </w:tcBorders>
            <w:noWrap/>
            <w:vAlign w:val="center"/>
            <w:hideMark/>
          </w:tcPr>
          <w:p w14:paraId="59C1A094" w14:textId="77777777" w:rsidR="000C26EB" w:rsidRPr="001E7605" w:rsidRDefault="000C26EB" w:rsidP="00CF3C6D">
            <w:pPr>
              <w:jc w:val="both"/>
              <w:rPr>
                <w:rFonts w:ascii="Times New Roman" w:eastAsia="Times New Roman" w:hAnsi="Times New Roman" w:cs="Times New Roman"/>
                <w:sz w:val="20"/>
                <w:szCs w:val="20"/>
                <w:lang w:val="en-GB" w:eastAsia="en-GB"/>
              </w:rPr>
            </w:pPr>
          </w:p>
        </w:tc>
        <w:tc>
          <w:tcPr>
            <w:tcW w:w="1240" w:type="dxa"/>
            <w:tcBorders>
              <w:top w:val="nil"/>
              <w:left w:val="nil"/>
              <w:bottom w:val="nil"/>
              <w:right w:val="nil"/>
            </w:tcBorders>
            <w:noWrap/>
            <w:vAlign w:val="center"/>
            <w:hideMark/>
          </w:tcPr>
          <w:p w14:paraId="743A3DDB"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280" w:type="dxa"/>
            <w:tcBorders>
              <w:top w:val="nil"/>
              <w:left w:val="nil"/>
              <w:bottom w:val="nil"/>
              <w:right w:val="nil"/>
            </w:tcBorders>
            <w:noWrap/>
            <w:vAlign w:val="center"/>
            <w:hideMark/>
          </w:tcPr>
          <w:p w14:paraId="7963F091"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480" w:type="dxa"/>
            <w:tcBorders>
              <w:top w:val="nil"/>
              <w:left w:val="nil"/>
              <w:bottom w:val="nil"/>
              <w:right w:val="single" w:sz="4" w:space="0" w:color="auto"/>
            </w:tcBorders>
            <w:noWrap/>
            <w:vAlign w:val="center"/>
            <w:hideMark/>
          </w:tcPr>
          <w:p w14:paraId="0A10EE2E"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r>
      <w:tr w:rsidR="000C26EB" w:rsidRPr="001E7605" w14:paraId="411559A2"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51812798"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Creatinine (</w:t>
            </w:r>
            <w:r w:rsidRPr="001E7605">
              <w:rPr>
                <w:rFonts w:ascii="Garamond" w:eastAsia="Times New Roman" w:hAnsi="Garamond" w:cs="Calibri"/>
                <w:i/>
                <w:iCs/>
                <w:color w:val="000000"/>
                <w:sz w:val="22"/>
                <w:szCs w:val="22"/>
                <w:lang w:val="en-US" w:eastAsia="en-GB"/>
              </w:rPr>
              <w:t>mg/dL)</w:t>
            </w:r>
          </w:p>
        </w:tc>
        <w:tc>
          <w:tcPr>
            <w:tcW w:w="1559" w:type="dxa"/>
            <w:tcBorders>
              <w:top w:val="nil"/>
              <w:left w:val="single" w:sz="4" w:space="0" w:color="FFFFFF" w:themeColor="background1"/>
              <w:bottom w:val="nil"/>
              <w:right w:val="nil"/>
            </w:tcBorders>
            <w:noWrap/>
            <w:vAlign w:val="center"/>
            <w:hideMark/>
          </w:tcPr>
          <w:p w14:paraId="62D8CCCE"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1.1±0.4</w:t>
            </w:r>
          </w:p>
        </w:tc>
        <w:tc>
          <w:tcPr>
            <w:tcW w:w="1240" w:type="dxa"/>
            <w:tcBorders>
              <w:top w:val="nil"/>
              <w:left w:val="nil"/>
              <w:bottom w:val="nil"/>
              <w:right w:val="nil"/>
            </w:tcBorders>
            <w:noWrap/>
            <w:vAlign w:val="center"/>
            <w:hideMark/>
          </w:tcPr>
          <w:p w14:paraId="3235EBD4"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1.8±2.7</w:t>
            </w:r>
          </w:p>
        </w:tc>
        <w:tc>
          <w:tcPr>
            <w:tcW w:w="1280" w:type="dxa"/>
            <w:tcBorders>
              <w:top w:val="nil"/>
              <w:left w:val="nil"/>
              <w:bottom w:val="nil"/>
              <w:right w:val="nil"/>
            </w:tcBorders>
            <w:noWrap/>
            <w:vAlign w:val="center"/>
            <w:hideMark/>
          </w:tcPr>
          <w:p w14:paraId="59A4FA8E"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1.1±0.4</w:t>
            </w:r>
          </w:p>
        </w:tc>
        <w:tc>
          <w:tcPr>
            <w:tcW w:w="1480" w:type="dxa"/>
            <w:tcBorders>
              <w:top w:val="nil"/>
              <w:left w:val="nil"/>
              <w:bottom w:val="nil"/>
              <w:right w:val="single" w:sz="4" w:space="0" w:color="auto"/>
            </w:tcBorders>
            <w:noWrap/>
            <w:vAlign w:val="center"/>
            <w:hideMark/>
          </w:tcPr>
          <w:p w14:paraId="292D11EC"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 xml:space="preserve">1.2±0.1 </w:t>
            </w:r>
          </w:p>
        </w:tc>
      </w:tr>
      <w:tr w:rsidR="000C26EB" w:rsidRPr="001E7605" w14:paraId="1E770441"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6B1C7FF4"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lastRenderedPageBreak/>
              <w:t xml:space="preserve">Left atrial diameter </w:t>
            </w:r>
            <w:r w:rsidRPr="001E7605">
              <w:rPr>
                <w:rFonts w:ascii="Garamond" w:eastAsia="Times New Roman" w:hAnsi="Garamond" w:cs="Calibri"/>
                <w:i/>
                <w:iCs/>
                <w:color w:val="000000"/>
                <w:sz w:val="22"/>
                <w:szCs w:val="22"/>
                <w:lang w:val="en-US" w:eastAsia="en-GB"/>
              </w:rPr>
              <w:t>(cm)</w:t>
            </w:r>
            <w:r w:rsidRPr="001E7605">
              <w:rPr>
                <w:rFonts w:ascii="Garamond" w:eastAsia="Times New Roman" w:hAnsi="Garamond" w:cs="Calibri"/>
                <w:color w:val="000000"/>
                <w:sz w:val="22"/>
                <w:szCs w:val="22"/>
                <w:lang w:val="en-US" w:eastAsia="en-GB"/>
              </w:rPr>
              <w:t xml:space="preserve">                                  </w:t>
            </w:r>
          </w:p>
        </w:tc>
        <w:tc>
          <w:tcPr>
            <w:tcW w:w="1559" w:type="dxa"/>
            <w:tcBorders>
              <w:top w:val="nil"/>
              <w:left w:val="single" w:sz="4" w:space="0" w:color="FFFFFF" w:themeColor="background1"/>
              <w:bottom w:val="nil"/>
              <w:right w:val="nil"/>
            </w:tcBorders>
            <w:noWrap/>
            <w:vAlign w:val="center"/>
            <w:hideMark/>
          </w:tcPr>
          <w:p w14:paraId="3F65A74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3.96±0.76</w:t>
            </w:r>
          </w:p>
        </w:tc>
        <w:tc>
          <w:tcPr>
            <w:tcW w:w="1240" w:type="dxa"/>
            <w:tcBorders>
              <w:top w:val="nil"/>
              <w:left w:val="nil"/>
              <w:bottom w:val="nil"/>
              <w:right w:val="nil"/>
            </w:tcBorders>
            <w:noWrap/>
            <w:vAlign w:val="center"/>
            <w:hideMark/>
          </w:tcPr>
          <w:p w14:paraId="39CE4CF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4.46±0.78</w:t>
            </w:r>
          </w:p>
        </w:tc>
        <w:tc>
          <w:tcPr>
            <w:tcW w:w="1280" w:type="dxa"/>
            <w:tcBorders>
              <w:top w:val="nil"/>
              <w:left w:val="nil"/>
              <w:bottom w:val="nil"/>
              <w:right w:val="nil"/>
            </w:tcBorders>
            <w:noWrap/>
            <w:vAlign w:val="center"/>
            <w:hideMark/>
          </w:tcPr>
          <w:p w14:paraId="3A6A9BB5"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5.0±1.16</w:t>
            </w:r>
          </w:p>
        </w:tc>
        <w:tc>
          <w:tcPr>
            <w:tcW w:w="1480" w:type="dxa"/>
            <w:tcBorders>
              <w:top w:val="nil"/>
              <w:left w:val="nil"/>
              <w:bottom w:val="nil"/>
              <w:right w:val="single" w:sz="4" w:space="0" w:color="auto"/>
            </w:tcBorders>
            <w:noWrap/>
            <w:vAlign w:val="center"/>
            <w:hideMark/>
          </w:tcPr>
          <w:p w14:paraId="26E446A6"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4.2±0.14</w:t>
            </w:r>
          </w:p>
        </w:tc>
      </w:tr>
      <w:tr w:rsidR="000C26EB" w:rsidRPr="001E7605" w14:paraId="017979E1"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56EB030F"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 xml:space="preserve">Left atrial volume </w:t>
            </w:r>
            <w:r w:rsidRPr="001E7605">
              <w:rPr>
                <w:rFonts w:ascii="Garamond" w:eastAsia="Times New Roman" w:hAnsi="Garamond" w:cs="Calibri"/>
                <w:i/>
                <w:iCs/>
                <w:color w:val="000000"/>
                <w:sz w:val="22"/>
                <w:szCs w:val="18"/>
                <w:lang w:val="en-US" w:eastAsia="en-GB"/>
              </w:rPr>
              <w:t>(mL)</w:t>
            </w:r>
            <w:r w:rsidRPr="001E7605">
              <w:rPr>
                <w:rFonts w:ascii="Garamond" w:eastAsia="Times New Roman" w:hAnsi="Garamond" w:cs="Calibri"/>
                <w:color w:val="000000"/>
                <w:sz w:val="22"/>
                <w:szCs w:val="18"/>
                <w:lang w:val="en-US" w:eastAsia="en-GB"/>
              </w:rPr>
              <w:t xml:space="preserve">                                   </w:t>
            </w:r>
          </w:p>
        </w:tc>
        <w:tc>
          <w:tcPr>
            <w:tcW w:w="1559" w:type="dxa"/>
            <w:tcBorders>
              <w:top w:val="nil"/>
              <w:left w:val="single" w:sz="4" w:space="0" w:color="FFFFFF" w:themeColor="background1"/>
              <w:bottom w:val="nil"/>
              <w:right w:val="nil"/>
            </w:tcBorders>
            <w:noWrap/>
            <w:vAlign w:val="center"/>
            <w:hideMark/>
          </w:tcPr>
          <w:p w14:paraId="10E1414D"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73.8±36</w:t>
            </w:r>
          </w:p>
        </w:tc>
        <w:tc>
          <w:tcPr>
            <w:tcW w:w="1240" w:type="dxa"/>
            <w:tcBorders>
              <w:top w:val="nil"/>
              <w:left w:val="nil"/>
              <w:bottom w:val="nil"/>
              <w:right w:val="nil"/>
            </w:tcBorders>
            <w:noWrap/>
            <w:vAlign w:val="center"/>
            <w:hideMark/>
          </w:tcPr>
          <w:p w14:paraId="2C92DB33"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85.3±32</w:t>
            </w:r>
          </w:p>
        </w:tc>
        <w:tc>
          <w:tcPr>
            <w:tcW w:w="1280" w:type="dxa"/>
            <w:tcBorders>
              <w:top w:val="nil"/>
              <w:left w:val="nil"/>
              <w:bottom w:val="nil"/>
              <w:right w:val="nil"/>
            </w:tcBorders>
            <w:noWrap/>
            <w:vAlign w:val="center"/>
            <w:hideMark/>
          </w:tcPr>
          <w:p w14:paraId="18EFFE29"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216±390</w:t>
            </w:r>
          </w:p>
        </w:tc>
        <w:tc>
          <w:tcPr>
            <w:tcW w:w="1480" w:type="dxa"/>
            <w:tcBorders>
              <w:top w:val="nil"/>
              <w:left w:val="nil"/>
              <w:bottom w:val="nil"/>
              <w:right w:val="single" w:sz="4" w:space="0" w:color="auto"/>
            </w:tcBorders>
            <w:noWrap/>
            <w:vAlign w:val="center"/>
            <w:hideMark/>
          </w:tcPr>
          <w:p w14:paraId="49F61B13"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125.8±228</w:t>
            </w:r>
          </w:p>
        </w:tc>
      </w:tr>
      <w:tr w:rsidR="000C26EB" w:rsidRPr="001E7605" w14:paraId="3DF9F98B"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2C455547"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 xml:space="preserve">Ejection fraction </w:t>
            </w:r>
            <w:r w:rsidRPr="001E7605">
              <w:rPr>
                <w:rFonts w:ascii="Garamond" w:eastAsia="Times New Roman" w:hAnsi="Garamond" w:cs="Calibri"/>
                <w:i/>
                <w:iCs/>
                <w:color w:val="000000"/>
                <w:sz w:val="22"/>
                <w:szCs w:val="22"/>
                <w:lang w:val="en-US" w:eastAsia="en-GB"/>
              </w:rPr>
              <w:t xml:space="preserve">(%)     </w:t>
            </w:r>
            <w:r w:rsidRPr="001E7605">
              <w:rPr>
                <w:rFonts w:ascii="Garamond" w:eastAsia="Times New Roman" w:hAnsi="Garamond" w:cs="Calibri"/>
                <w:color w:val="000000"/>
                <w:sz w:val="22"/>
                <w:szCs w:val="22"/>
                <w:lang w:val="en-US" w:eastAsia="en-GB"/>
              </w:rPr>
              <w:t xml:space="preserve">                                   </w:t>
            </w:r>
          </w:p>
        </w:tc>
        <w:tc>
          <w:tcPr>
            <w:tcW w:w="1559" w:type="dxa"/>
            <w:tcBorders>
              <w:top w:val="nil"/>
              <w:left w:val="single" w:sz="4" w:space="0" w:color="FFFFFF" w:themeColor="background1"/>
              <w:bottom w:val="nil"/>
              <w:right w:val="nil"/>
            </w:tcBorders>
            <w:noWrap/>
            <w:vAlign w:val="center"/>
            <w:hideMark/>
          </w:tcPr>
          <w:p w14:paraId="7AE54288"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54.1±13</w:t>
            </w:r>
          </w:p>
        </w:tc>
        <w:tc>
          <w:tcPr>
            <w:tcW w:w="1240" w:type="dxa"/>
            <w:tcBorders>
              <w:top w:val="nil"/>
              <w:left w:val="nil"/>
              <w:bottom w:val="nil"/>
              <w:right w:val="nil"/>
            </w:tcBorders>
            <w:noWrap/>
            <w:vAlign w:val="center"/>
            <w:hideMark/>
          </w:tcPr>
          <w:p w14:paraId="48365A86"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61±15</w:t>
            </w:r>
          </w:p>
        </w:tc>
        <w:tc>
          <w:tcPr>
            <w:tcW w:w="1280" w:type="dxa"/>
            <w:tcBorders>
              <w:top w:val="nil"/>
              <w:left w:val="nil"/>
              <w:bottom w:val="nil"/>
              <w:right w:val="nil"/>
            </w:tcBorders>
            <w:noWrap/>
            <w:vAlign w:val="center"/>
            <w:hideMark/>
          </w:tcPr>
          <w:p w14:paraId="683B9354"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59.9±8.8</w:t>
            </w:r>
          </w:p>
        </w:tc>
        <w:tc>
          <w:tcPr>
            <w:tcW w:w="1480" w:type="dxa"/>
            <w:tcBorders>
              <w:top w:val="nil"/>
              <w:left w:val="nil"/>
              <w:bottom w:val="nil"/>
              <w:right w:val="single" w:sz="4" w:space="0" w:color="auto"/>
            </w:tcBorders>
            <w:noWrap/>
            <w:vAlign w:val="center"/>
            <w:hideMark/>
          </w:tcPr>
          <w:p w14:paraId="508FF6C0"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64.9±7</w:t>
            </w:r>
          </w:p>
        </w:tc>
      </w:tr>
      <w:tr w:rsidR="000C26EB" w:rsidRPr="001E7605" w14:paraId="50E6C76E"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39E72283" w14:textId="77777777" w:rsidR="000C26EB" w:rsidRPr="001E7605" w:rsidRDefault="000C26EB" w:rsidP="00CF3C6D">
            <w:pPr>
              <w:jc w:val="center"/>
              <w:rPr>
                <w:rFonts w:ascii="Garamond" w:eastAsia="Times New Roman" w:hAnsi="Garamond" w:cs="Calibri"/>
                <w:color w:val="000000"/>
                <w:sz w:val="22"/>
                <w:szCs w:val="22"/>
                <w:lang w:val="en-GB" w:eastAsia="en-GB"/>
              </w:rPr>
            </w:pPr>
          </w:p>
        </w:tc>
        <w:tc>
          <w:tcPr>
            <w:tcW w:w="1559" w:type="dxa"/>
            <w:tcBorders>
              <w:top w:val="nil"/>
              <w:left w:val="single" w:sz="4" w:space="0" w:color="FFFFFF" w:themeColor="background1"/>
              <w:bottom w:val="nil"/>
              <w:right w:val="nil"/>
            </w:tcBorders>
            <w:noWrap/>
            <w:vAlign w:val="center"/>
            <w:hideMark/>
          </w:tcPr>
          <w:p w14:paraId="7323CD55" w14:textId="77777777" w:rsidR="000C26EB" w:rsidRPr="001E7605" w:rsidRDefault="000C26EB" w:rsidP="00CF3C6D">
            <w:pPr>
              <w:jc w:val="both"/>
              <w:rPr>
                <w:rFonts w:ascii="Times New Roman" w:eastAsia="Times New Roman" w:hAnsi="Times New Roman" w:cs="Times New Roman"/>
                <w:sz w:val="20"/>
                <w:szCs w:val="20"/>
                <w:lang w:val="en-GB" w:eastAsia="en-GB"/>
              </w:rPr>
            </w:pPr>
          </w:p>
        </w:tc>
        <w:tc>
          <w:tcPr>
            <w:tcW w:w="1240" w:type="dxa"/>
            <w:tcBorders>
              <w:top w:val="nil"/>
              <w:left w:val="nil"/>
              <w:bottom w:val="nil"/>
              <w:right w:val="nil"/>
            </w:tcBorders>
            <w:noWrap/>
            <w:vAlign w:val="center"/>
            <w:hideMark/>
          </w:tcPr>
          <w:p w14:paraId="3F893C9A"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280" w:type="dxa"/>
            <w:tcBorders>
              <w:top w:val="nil"/>
              <w:left w:val="nil"/>
              <w:bottom w:val="nil"/>
              <w:right w:val="nil"/>
            </w:tcBorders>
            <w:noWrap/>
            <w:vAlign w:val="center"/>
            <w:hideMark/>
          </w:tcPr>
          <w:p w14:paraId="0EE6AA34"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480" w:type="dxa"/>
            <w:tcBorders>
              <w:top w:val="nil"/>
              <w:left w:val="nil"/>
              <w:bottom w:val="nil"/>
              <w:right w:val="single" w:sz="4" w:space="0" w:color="auto"/>
            </w:tcBorders>
            <w:noWrap/>
            <w:vAlign w:val="center"/>
            <w:hideMark/>
          </w:tcPr>
          <w:p w14:paraId="421C4097"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r>
      <w:tr w:rsidR="000C26EB" w:rsidRPr="001E7605" w14:paraId="1C4D7DE3"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407DBA5A"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NYHA functional class</w:t>
            </w:r>
          </w:p>
        </w:tc>
        <w:tc>
          <w:tcPr>
            <w:tcW w:w="1559" w:type="dxa"/>
            <w:tcBorders>
              <w:top w:val="nil"/>
              <w:left w:val="single" w:sz="4" w:space="0" w:color="FFFFFF" w:themeColor="background1"/>
              <w:bottom w:val="nil"/>
              <w:right w:val="nil"/>
            </w:tcBorders>
            <w:noWrap/>
            <w:vAlign w:val="center"/>
            <w:hideMark/>
          </w:tcPr>
          <w:p w14:paraId="3262DE0C" w14:textId="77777777" w:rsidR="000C26EB" w:rsidRPr="001E7605" w:rsidRDefault="000C26EB" w:rsidP="00CF3C6D">
            <w:pPr>
              <w:jc w:val="both"/>
              <w:rPr>
                <w:rFonts w:ascii="Garamond" w:eastAsia="Times New Roman" w:hAnsi="Garamond" w:cs="Calibri"/>
                <w:color w:val="000000"/>
                <w:sz w:val="22"/>
                <w:szCs w:val="22"/>
                <w:lang w:val="en-GB" w:eastAsia="en-GB"/>
              </w:rPr>
            </w:pPr>
          </w:p>
        </w:tc>
        <w:tc>
          <w:tcPr>
            <w:tcW w:w="1240" w:type="dxa"/>
            <w:tcBorders>
              <w:top w:val="nil"/>
              <w:left w:val="nil"/>
              <w:bottom w:val="nil"/>
              <w:right w:val="nil"/>
            </w:tcBorders>
            <w:noWrap/>
            <w:vAlign w:val="center"/>
            <w:hideMark/>
          </w:tcPr>
          <w:p w14:paraId="15ED338D"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280" w:type="dxa"/>
            <w:tcBorders>
              <w:top w:val="nil"/>
              <w:left w:val="nil"/>
              <w:bottom w:val="nil"/>
              <w:right w:val="nil"/>
            </w:tcBorders>
            <w:noWrap/>
            <w:vAlign w:val="center"/>
            <w:hideMark/>
          </w:tcPr>
          <w:p w14:paraId="47DF5CBF"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480" w:type="dxa"/>
            <w:tcBorders>
              <w:top w:val="nil"/>
              <w:left w:val="nil"/>
              <w:bottom w:val="nil"/>
              <w:right w:val="single" w:sz="4" w:space="0" w:color="auto"/>
            </w:tcBorders>
            <w:noWrap/>
            <w:vAlign w:val="center"/>
            <w:hideMark/>
          </w:tcPr>
          <w:p w14:paraId="5EF5F1E3"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r>
      <w:tr w:rsidR="000C26EB" w:rsidRPr="001E7605" w14:paraId="7A32092A"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63E340EF"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 xml:space="preserve">            I </w:t>
            </w:r>
            <w:r w:rsidRPr="001E7605">
              <w:rPr>
                <w:rFonts w:ascii="Garamond" w:eastAsia="Times New Roman" w:hAnsi="Garamond" w:cs="Calibri"/>
                <w:i/>
                <w:iCs/>
                <w:color w:val="000000"/>
                <w:sz w:val="22"/>
                <w:szCs w:val="22"/>
                <w:lang w:val="en-GB" w:eastAsia="en-GB"/>
              </w:rPr>
              <w:t>(n)</w:t>
            </w:r>
          </w:p>
        </w:tc>
        <w:tc>
          <w:tcPr>
            <w:tcW w:w="1559" w:type="dxa"/>
            <w:tcBorders>
              <w:top w:val="nil"/>
              <w:left w:val="single" w:sz="4" w:space="0" w:color="FFFFFF" w:themeColor="background1"/>
              <w:bottom w:val="nil"/>
              <w:right w:val="nil"/>
            </w:tcBorders>
            <w:noWrap/>
            <w:vAlign w:val="center"/>
            <w:hideMark/>
          </w:tcPr>
          <w:p w14:paraId="203EF80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12</w:t>
            </w:r>
          </w:p>
        </w:tc>
        <w:tc>
          <w:tcPr>
            <w:tcW w:w="1240" w:type="dxa"/>
            <w:tcBorders>
              <w:top w:val="nil"/>
              <w:left w:val="nil"/>
              <w:bottom w:val="nil"/>
              <w:right w:val="nil"/>
            </w:tcBorders>
            <w:noWrap/>
            <w:vAlign w:val="center"/>
            <w:hideMark/>
          </w:tcPr>
          <w:p w14:paraId="2ABCF669"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14</w:t>
            </w:r>
          </w:p>
        </w:tc>
        <w:tc>
          <w:tcPr>
            <w:tcW w:w="1280" w:type="dxa"/>
            <w:tcBorders>
              <w:top w:val="nil"/>
              <w:left w:val="nil"/>
              <w:bottom w:val="nil"/>
              <w:right w:val="nil"/>
            </w:tcBorders>
            <w:noWrap/>
            <w:vAlign w:val="center"/>
            <w:hideMark/>
          </w:tcPr>
          <w:p w14:paraId="2E45EEE4"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7</w:t>
            </w:r>
          </w:p>
        </w:tc>
        <w:tc>
          <w:tcPr>
            <w:tcW w:w="1480" w:type="dxa"/>
            <w:tcBorders>
              <w:top w:val="nil"/>
              <w:left w:val="nil"/>
              <w:bottom w:val="nil"/>
              <w:right w:val="single" w:sz="4" w:space="0" w:color="auto"/>
            </w:tcBorders>
            <w:noWrap/>
            <w:vAlign w:val="center"/>
            <w:hideMark/>
          </w:tcPr>
          <w:p w14:paraId="4BEA6503"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6F211BDB"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6C9691BB"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 xml:space="preserve">            II </w:t>
            </w:r>
            <w:r w:rsidRPr="001E7605">
              <w:rPr>
                <w:rFonts w:ascii="Garamond" w:eastAsia="Times New Roman" w:hAnsi="Garamond" w:cs="Calibri"/>
                <w:i/>
                <w:iCs/>
                <w:color w:val="000000"/>
                <w:sz w:val="22"/>
                <w:szCs w:val="22"/>
                <w:lang w:val="en-GB" w:eastAsia="en-GB"/>
              </w:rPr>
              <w:t>(n)</w:t>
            </w:r>
          </w:p>
        </w:tc>
        <w:tc>
          <w:tcPr>
            <w:tcW w:w="1559" w:type="dxa"/>
            <w:tcBorders>
              <w:top w:val="nil"/>
              <w:left w:val="single" w:sz="4" w:space="0" w:color="FFFFFF" w:themeColor="background1"/>
              <w:bottom w:val="nil"/>
              <w:right w:val="nil"/>
            </w:tcBorders>
            <w:noWrap/>
            <w:vAlign w:val="center"/>
            <w:hideMark/>
          </w:tcPr>
          <w:p w14:paraId="6761AE57"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1</w:t>
            </w:r>
          </w:p>
        </w:tc>
        <w:tc>
          <w:tcPr>
            <w:tcW w:w="1240" w:type="dxa"/>
            <w:tcBorders>
              <w:top w:val="nil"/>
              <w:left w:val="nil"/>
              <w:bottom w:val="nil"/>
              <w:right w:val="nil"/>
            </w:tcBorders>
            <w:noWrap/>
            <w:vAlign w:val="center"/>
            <w:hideMark/>
          </w:tcPr>
          <w:p w14:paraId="296A1FBD"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6</w:t>
            </w:r>
          </w:p>
        </w:tc>
        <w:tc>
          <w:tcPr>
            <w:tcW w:w="1280" w:type="dxa"/>
            <w:tcBorders>
              <w:top w:val="nil"/>
              <w:left w:val="nil"/>
              <w:bottom w:val="nil"/>
              <w:right w:val="nil"/>
            </w:tcBorders>
            <w:noWrap/>
            <w:vAlign w:val="center"/>
            <w:hideMark/>
          </w:tcPr>
          <w:p w14:paraId="67507138"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8</w:t>
            </w:r>
          </w:p>
        </w:tc>
        <w:tc>
          <w:tcPr>
            <w:tcW w:w="1480" w:type="dxa"/>
            <w:tcBorders>
              <w:top w:val="nil"/>
              <w:left w:val="nil"/>
              <w:bottom w:val="nil"/>
              <w:right w:val="single" w:sz="4" w:space="0" w:color="auto"/>
            </w:tcBorders>
            <w:noWrap/>
            <w:vAlign w:val="center"/>
            <w:hideMark/>
          </w:tcPr>
          <w:p w14:paraId="14147033"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402E60A5"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64369DC3"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 xml:space="preserve">            III </w:t>
            </w:r>
            <w:r w:rsidRPr="001E7605">
              <w:rPr>
                <w:rFonts w:ascii="Garamond" w:eastAsia="Times New Roman" w:hAnsi="Garamond" w:cs="Calibri"/>
                <w:i/>
                <w:iCs/>
                <w:color w:val="000000"/>
                <w:sz w:val="22"/>
                <w:szCs w:val="22"/>
                <w:lang w:val="en-GB" w:eastAsia="en-GB"/>
              </w:rPr>
              <w:t>(n)</w:t>
            </w:r>
          </w:p>
        </w:tc>
        <w:tc>
          <w:tcPr>
            <w:tcW w:w="1559" w:type="dxa"/>
            <w:tcBorders>
              <w:top w:val="nil"/>
              <w:left w:val="single" w:sz="4" w:space="0" w:color="FFFFFF" w:themeColor="background1"/>
              <w:bottom w:val="nil"/>
              <w:right w:val="nil"/>
            </w:tcBorders>
            <w:noWrap/>
            <w:vAlign w:val="center"/>
            <w:hideMark/>
          </w:tcPr>
          <w:p w14:paraId="1E4F2FC3"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0</w:t>
            </w:r>
          </w:p>
        </w:tc>
        <w:tc>
          <w:tcPr>
            <w:tcW w:w="1240" w:type="dxa"/>
            <w:tcBorders>
              <w:top w:val="nil"/>
              <w:left w:val="nil"/>
              <w:bottom w:val="nil"/>
              <w:right w:val="nil"/>
            </w:tcBorders>
            <w:noWrap/>
            <w:vAlign w:val="center"/>
            <w:hideMark/>
          </w:tcPr>
          <w:p w14:paraId="5EE81139"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9</w:t>
            </w:r>
          </w:p>
        </w:tc>
        <w:tc>
          <w:tcPr>
            <w:tcW w:w="1280" w:type="dxa"/>
            <w:tcBorders>
              <w:top w:val="nil"/>
              <w:left w:val="nil"/>
              <w:bottom w:val="nil"/>
              <w:right w:val="nil"/>
            </w:tcBorders>
            <w:noWrap/>
            <w:vAlign w:val="center"/>
            <w:hideMark/>
          </w:tcPr>
          <w:p w14:paraId="07E9993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12</w:t>
            </w:r>
          </w:p>
        </w:tc>
        <w:tc>
          <w:tcPr>
            <w:tcW w:w="1480" w:type="dxa"/>
            <w:tcBorders>
              <w:top w:val="nil"/>
              <w:left w:val="nil"/>
              <w:bottom w:val="nil"/>
              <w:right w:val="single" w:sz="4" w:space="0" w:color="auto"/>
            </w:tcBorders>
            <w:noWrap/>
            <w:vAlign w:val="center"/>
            <w:hideMark/>
          </w:tcPr>
          <w:p w14:paraId="27A6AC57"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r>
      <w:tr w:rsidR="000C26EB" w:rsidRPr="001E7605" w14:paraId="3D6CFD00"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4E3E6804"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 xml:space="preserve">            IV </w:t>
            </w:r>
            <w:r w:rsidRPr="001E7605">
              <w:rPr>
                <w:rFonts w:ascii="Garamond" w:eastAsia="Times New Roman" w:hAnsi="Garamond" w:cs="Calibri"/>
                <w:i/>
                <w:iCs/>
                <w:color w:val="000000"/>
                <w:sz w:val="22"/>
                <w:szCs w:val="22"/>
                <w:lang w:val="en-GB" w:eastAsia="en-GB"/>
              </w:rPr>
              <w:t>(n)</w:t>
            </w:r>
          </w:p>
        </w:tc>
        <w:tc>
          <w:tcPr>
            <w:tcW w:w="1559" w:type="dxa"/>
            <w:tcBorders>
              <w:top w:val="nil"/>
              <w:left w:val="single" w:sz="4" w:space="0" w:color="FFFFFF" w:themeColor="background1"/>
              <w:bottom w:val="nil"/>
              <w:right w:val="nil"/>
            </w:tcBorders>
            <w:noWrap/>
            <w:vAlign w:val="center"/>
            <w:hideMark/>
          </w:tcPr>
          <w:p w14:paraId="4B2945A2"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1</w:t>
            </w:r>
          </w:p>
        </w:tc>
        <w:tc>
          <w:tcPr>
            <w:tcW w:w="1240" w:type="dxa"/>
            <w:tcBorders>
              <w:top w:val="nil"/>
              <w:left w:val="nil"/>
              <w:bottom w:val="nil"/>
              <w:right w:val="nil"/>
            </w:tcBorders>
            <w:noWrap/>
            <w:vAlign w:val="center"/>
            <w:hideMark/>
          </w:tcPr>
          <w:p w14:paraId="09612C13"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280" w:type="dxa"/>
            <w:tcBorders>
              <w:top w:val="nil"/>
              <w:left w:val="nil"/>
              <w:bottom w:val="nil"/>
              <w:right w:val="nil"/>
            </w:tcBorders>
            <w:noWrap/>
            <w:vAlign w:val="center"/>
            <w:hideMark/>
          </w:tcPr>
          <w:p w14:paraId="6FE48EAB"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480" w:type="dxa"/>
            <w:tcBorders>
              <w:top w:val="nil"/>
              <w:left w:val="nil"/>
              <w:bottom w:val="nil"/>
              <w:right w:val="single" w:sz="4" w:space="0" w:color="auto"/>
            </w:tcBorders>
            <w:noWrap/>
            <w:vAlign w:val="center"/>
            <w:hideMark/>
          </w:tcPr>
          <w:p w14:paraId="2E42380C"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3D3448C1"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1932BE45" w14:textId="77777777" w:rsidR="000C26EB" w:rsidRPr="001E7605" w:rsidRDefault="000C26EB" w:rsidP="00CF3C6D">
            <w:pPr>
              <w:jc w:val="center"/>
              <w:rPr>
                <w:rFonts w:ascii="Garamond" w:eastAsia="Times New Roman" w:hAnsi="Garamond" w:cs="Calibri"/>
                <w:color w:val="000000"/>
                <w:sz w:val="22"/>
                <w:szCs w:val="22"/>
                <w:lang w:val="en-GB" w:eastAsia="en-GB"/>
              </w:rPr>
            </w:pPr>
          </w:p>
        </w:tc>
        <w:tc>
          <w:tcPr>
            <w:tcW w:w="1559" w:type="dxa"/>
            <w:tcBorders>
              <w:top w:val="nil"/>
              <w:left w:val="single" w:sz="4" w:space="0" w:color="FFFFFF" w:themeColor="background1"/>
              <w:bottom w:val="nil"/>
              <w:right w:val="nil"/>
            </w:tcBorders>
            <w:noWrap/>
            <w:vAlign w:val="center"/>
            <w:hideMark/>
          </w:tcPr>
          <w:p w14:paraId="4ABA2BAA" w14:textId="77777777" w:rsidR="000C26EB" w:rsidRPr="001E7605" w:rsidRDefault="000C26EB" w:rsidP="00CF3C6D">
            <w:pPr>
              <w:jc w:val="both"/>
              <w:rPr>
                <w:rFonts w:ascii="Times New Roman" w:eastAsia="Times New Roman" w:hAnsi="Times New Roman" w:cs="Times New Roman"/>
                <w:sz w:val="20"/>
                <w:szCs w:val="20"/>
                <w:lang w:val="en-GB" w:eastAsia="en-GB"/>
              </w:rPr>
            </w:pPr>
          </w:p>
        </w:tc>
        <w:tc>
          <w:tcPr>
            <w:tcW w:w="1240" w:type="dxa"/>
            <w:tcBorders>
              <w:top w:val="nil"/>
              <w:left w:val="nil"/>
              <w:bottom w:val="nil"/>
              <w:right w:val="nil"/>
            </w:tcBorders>
            <w:noWrap/>
            <w:vAlign w:val="center"/>
            <w:hideMark/>
          </w:tcPr>
          <w:p w14:paraId="632A075A"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280" w:type="dxa"/>
            <w:tcBorders>
              <w:top w:val="nil"/>
              <w:left w:val="nil"/>
              <w:bottom w:val="nil"/>
              <w:right w:val="nil"/>
            </w:tcBorders>
            <w:noWrap/>
            <w:vAlign w:val="center"/>
            <w:hideMark/>
          </w:tcPr>
          <w:p w14:paraId="5E68E56E"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480" w:type="dxa"/>
            <w:tcBorders>
              <w:top w:val="nil"/>
              <w:left w:val="nil"/>
              <w:bottom w:val="nil"/>
              <w:right w:val="single" w:sz="4" w:space="0" w:color="auto"/>
            </w:tcBorders>
            <w:noWrap/>
            <w:vAlign w:val="center"/>
            <w:hideMark/>
          </w:tcPr>
          <w:p w14:paraId="79368FB7"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r>
      <w:tr w:rsidR="000C26EB" w:rsidRPr="001E7605" w14:paraId="07322F98"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19D7F5E6"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Surgery</w:t>
            </w:r>
          </w:p>
        </w:tc>
        <w:tc>
          <w:tcPr>
            <w:tcW w:w="1559" w:type="dxa"/>
            <w:tcBorders>
              <w:top w:val="nil"/>
              <w:left w:val="single" w:sz="4" w:space="0" w:color="FFFFFF" w:themeColor="background1"/>
              <w:bottom w:val="nil"/>
              <w:right w:val="nil"/>
            </w:tcBorders>
            <w:noWrap/>
            <w:vAlign w:val="center"/>
            <w:hideMark/>
          </w:tcPr>
          <w:p w14:paraId="0D012D9B" w14:textId="77777777" w:rsidR="000C26EB" w:rsidRPr="001E7605" w:rsidRDefault="000C26EB" w:rsidP="00CF3C6D">
            <w:pPr>
              <w:jc w:val="both"/>
              <w:rPr>
                <w:rFonts w:ascii="Garamond" w:eastAsia="Times New Roman" w:hAnsi="Garamond" w:cs="Calibri"/>
                <w:color w:val="000000"/>
                <w:sz w:val="22"/>
                <w:szCs w:val="22"/>
                <w:lang w:val="en-GB" w:eastAsia="en-GB"/>
              </w:rPr>
            </w:pPr>
          </w:p>
        </w:tc>
        <w:tc>
          <w:tcPr>
            <w:tcW w:w="1240" w:type="dxa"/>
            <w:tcBorders>
              <w:top w:val="nil"/>
              <w:left w:val="nil"/>
              <w:bottom w:val="nil"/>
              <w:right w:val="nil"/>
            </w:tcBorders>
            <w:noWrap/>
            <w:vAlign w:val="center"/>
            <w:hideMark/>
          </w:tcPr>
          <w:p w14:paraId="013F5DDE"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280" w:type="dxa"/>
            <w:tcBorders>
              <w:top w:val="nil"/>
              <w:left w:val="nil"/>
              <w:bottom w:val="nil"/>
              <w:right w:val="nil"/>
            </w:tcBorders>
            <w:noWrap/>
            <w:vAlign w:val="center"/>
            <w:hideMark/>
          </w:tcPr>
          <w:p w14:paraId="7700B6DB"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c>
          <w:tcPr>
            <w:tcW w:w="1480" w:type="dxa"/>
            <w:tcBorders>
              <w:top w:val="nil"/>
              <w:left w:val="nil"/>
              <w:bottom w:val="nil"/>
              <w:right w:val="single" w:sz="4" w:space="0" w:color="auto"/>
            </w:tcBorders>
            <w:noWrap/>
            <w:vAlign w:val="center"/>
            <w:hideMark/>
          </w:tcPr>
          <w:p w14:paraId="7173EC03" w14:textId="77777777" w:rsidR="000C26EB" w:rsidRPr="001E7605" w:rsidRDefault="000C26EB" w:rsidP="00CF3C6D">
            <w:pPr>
              <w:jc w:val="center"/>
              <w:rPr>
                <w:rFonts w:ascii="Times New Roman" w:eastAsia="Times New Roman" w:hAnsi="Times New Roman" w:cs="Times New Roman"/>
                <w:sz w:val="20"/>
                <w:szCs w:val="20"/>
                <w:lang w:val="en-GB" w:eastAsia="en-GB"/>
              </w:rPr>
            </w:pPr>
          </w:p>
        </w:tc>
      </w:tr>
      <w:tr w:rsidR="000C26EB" w:rsidRPr="001E7605" w14:paraId="34495264"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2B58A17A"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 xml:space="preserve">            Valve surgery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02379533"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7</w:t>
            </w:r>
          </w:p>
        </w:tc>
        <w:tc>
          <w:tcPr>
            <w:tcW w:w="1240" w:type="dxa"/>
            <w:tcBorders>
              <w:top w:val="nil"/>
              <w:left w:val="nil"/>
              <w:bottom w:val="nil"/>
              <w:right w:val="nil"/>
            </w:tcBorders>
            <w:noWrap/>
            <w:vAlign w:val="center"/>
            <w:hideMark/>
          </w:tcPr>
          <w:p w14:paraId="29636AC5"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5</w:t>
            </w:r>
          </w:p>
        </w:tc>
        <w:tc>
          <w:tcPr>
            <w:tcW w:w="1280" w:type="dxa"/>
            <w:tcBorders>
              <w:top w:val="nil"/>
              <w:left w:val="nil"/>
              <w:bottom w:val="nil"/>
              <w:right w:val="nil"/>
            </w:tcBorders>
            <w:noWrap/>
            <w:vAlign w:val="center"/>
            <w:hideMark/>
          </w:tcPr>
          <w:p w14:paraId="6603C59B"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5</w:t>
            </w:r>
          </w:p>
        </w:tc>
        <w:tc>
          <w:tcPr>
            <w:tcW w:w="1480" w:type="dxa"/>
            <w:tcBorders>
              <w:top w:val="nil"/>
              <w:left w:val="nil"/>
              <w:bottom w:val="nil"/>
              <w:right w:val="single" w:sz="4" w:space="0" w:color="auto"/>
            </w:tcBorders>
            <w:noWrap/>
            <w:vAlign w:val="center"/>
            <w:hideMark/>
          </w:tcPr>
          <w:p w14:paraId="39C0CB70"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78915952"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7BEAA3D6"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 xml:space="preserve">            CABG surgery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w:t>
            </w:r>
          </w:p>
        </w:tc>
        <w:tc>
          <w:tcPr>
            <w:tcW w:w="1559" w:type="dxa"/>
            <w:tcBorders>
              <w:top w:val="nil"/>
              <w:left w:val="single" w:sz="4" w:space="0" w:color="FFFFFF" w:themeColor="background1"/>
              <w:bottom w:val="nil"/>
              <w:right w:val="nil"/>
            </w:tcBorders>
            <w:noWrap/>
            <w:vAlign w:val="center"/>
            <w:hideMark/>
          </w:tcPr>
          <w:p w14:paraId="739C3CF4"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8</w:t>
            </w:r>
          </w:p>
        </w:tc>
        <w:tc>
          <w:tcPr>
            <w:tcW w:w="1240" w:type="dxa"/>
            <w:tcBorders>
              <w:top w:val="nil"/>
              <w:left w:val="nil"/>
              <w:bottom w:val="nil"/>
              <w:right w:val="nil"/>
            </w:tcBorders>
            <w:noWrap/>
            <w:vAlign w:val="center"/>
            <w:hideMark/>
          </w:tcPr>
          <w:p w14:paraId="4BDB525A"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280" w:type="dxa"/>
            <w:tcBorders>
              <w:top w:val="nil"/>
              <w:left w:val="nil"/>
              <w:bottom w:val="nil"/>
              <w:right w:val="nil"/>
            </w:tcBorders>
            <w:noWrap/>
            <w:vAlign w:val="center"/>
            <w:hideMark/>
          </w:tcPr>
          <w:p w14:paraId="37F32E52"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480" w:type="dxa"/>
            <w:tcBorders>
              <w:top w:val="nil"/>
              <w:left w:val="nil"/>
              <w:bottom w:val="nil"/>
              <w:right w:val="single" w:sz="4" w:space="0" w:color="auto"/>
            </w:tcBorders>
            <w:noWrap/>
            <w:vAlign w:val="center"/>
            <w:hideMark/>
          </w:tcPr>
          <w:p w14:paraId="0744E1A6"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r>
      <w:tr w:rsidR="000C26EB" w:rsidRPr="001E7605" w14:paraId="2E184D97"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7B1C8B95"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Aorta </w:t>
            </w:r>
            <w:proofErr w:type="spellStart"/>
            <w:r w:rsidRPr="001E7605">
              <w:rPr>
                <w:rFonts w:ascii="Garamond" w:eastAsia="Times New Roman" w:hAnsi="Garamond" w:cs="Calibri"/>
                <w:color w:val="000000"/>
                <w:sz w:val="22"/>
                <w:szCs w:val="18"/>
                <w:lang w:eastAsia="en-GB"/>
              </w:rPr>
              <w:t>surgery</w:t>
            </w:r>
            <w:proofErr w:type="spellEnd"/>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i/>
                <w:iCs/>
                <w:color w:val="000000"/>
                <w:sz w:val="22"/>
                <w:szCs w:val="22"/>
                <w:lang w:eastAsia="en-GB"/>
              </w:rPr>
              <w:t>n</w:t>
            </w:r>
            <w:r w:rsidRPr="001E7605">
              <w:rPr>
                <w:rFonts w:ascii="Garamond" w:eastAsia="Times New Roman" w:hAnsi="Garamond" w:cs="Calibri"/>
                <w:color w:val="000000"/>
                <w:sz w:val="22"/>
                <w:szCs w:val="22"/>
                <w:lang w:eastAsia="en-GB"/>
              </w:rPr>
              <w:t xml:space="preserve">)                   </w:t>
            </w:r>
          </w:p>
        </w:tc>
        <w:tc>
          <w:tcPr>
            <w:tcW w:w="1559" w:type="dxa"/>
            <w:tcBorders>
              <w:top w:val="nil"/>
              <w:left w:val="single" w:sz="4" w:space="0" w:color="FFFFFF" w:themeColor="background1"/>
              <w:bottom w:val="nil"/>
              <w:right w:val="nil"/>
            </w:tcBorders>
            <w:noWrap/>
            <w:vAlign w:val="center"/>
            <w:hideMark/>
          </w:tcPr>
          <w:p w14:paraId="1123C972"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3</w:t>
            </w:r>
          </w:p>
        </w:tc>
        <w:tc>
          <w:tcPr>
            <w:tcW w:w="1240" w:type="dxa"/>
            <w:tcBorders>
              <w:top w:val="nil"/>
              <w:left w:val="nil"/>
              <w:bottom w:val="nil"/>
              <w:right w:val="nil"/>
            </w:tcBorders>
            <w:noWrap/>
            <w:vAlign w:val="center"/>
            <w:hideMark/>
          </w:tcPr>
          <w:p w14:paraId="24F3C6B3"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3</w:t>
            </w:r>
          </w:p>
        </w:tc>
        <w:tc>
          <w:tcPr>
            <w:tcW w:w="1280" w:type="dxa"/>
            <w:tcBorders>
              <w:top w:val="nil"/>
              <w:left w:val="nil"/>
              <w:bottom w:val="nil"/>
              <w:right w:val="nil"/>
            </w:tcBorders>
            <w:noWrap/>
            <w:vAlign w:val="center"/>
            <w:hideMark/>
          </w:tcPr>
          <w:p w14:paraId="371A81EB"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480" w:type="dxa"/>
            <w:tcBorders>
              <w:top w:val="nil"/>
              <w:left w:val="nil"/>
              <w:bottom w:val="nil"/>
              <w:right w:val="single" w:sz="4" w:space="0" w:color="auto"/>
            </w:tcBorders>
            <w:noWrap/>
            <w:vAlign w:val="center"/>
            <w:hideMark/>
          </w:tcPr>
          <w:p w14:paraId="0EF6D364"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17612FD9"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75655E69"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Septal </w:t>
            </w:r>
            <w:proofErr w:type="spellStart"/>
            <w:r w:rsidRPr="001E7605">
              <w:rPr>
                <w:rFonts w:ascii="Garamond" w:eastAsia="Times New Roman" w:hAnsi="Garamond" w:cs="Calibri"/>
                <w:color w:val="000000"/>
                <w:sz w:val="22"/>
                <w:szCs w:val="18"/>
                <w:lang w:eastAsia="en-GB"/>
              </w:rPr>
              <w:t>myectomy</w:t>
            </w:r>
            <w:proofErr w:type="spellEnd"/>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i/>
                <w:iCs/>
                <w:color w:val="000000"/>
                <w:sz w:val="22"/>
                <w:szCs w:val="22"/>
                <w:lang w:eastAsia="en-GB"/>
              </w:rPr>
              <w:t>n)</w:t>
            </w:r>
          </w:p>
        </w:tc>
        <w:tc>
          <w:tcPr>
            <w:tcW w:w="1559" w:type="dxa"/>
            <w:tcBorders>
              <w:top w:val="nil"/>
              <w:left w:val="single" w:sz="4" w:space="0" w:color="FFFFFF" w:themeColor="background1"/>
              <w:bottom w:val="nil"/>
              <w:right w:val="nil"/>
            </w:tcBorders>
            <w:noWrap/>
            <w:vAlign w:val="center"/>
            <w:hideMark/>
          </w:tcPr>
          <w:p w14:paraId="4CE3EA10"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240" w:type="dxa"/>
            <w:tcBorders>
              <w:top w:val="nil"/>
              <w:left w:val="nil"/>
              <w:bottom w:val="nil"/>
              <w:right w:val="nil"/>
            </w:tcBorders>
            <w:noWrap/>
            <w:vAlign w:val="center"/>
            <w:hideMark/>
          </w:tcPr>
          <w:p w14:paraId="5E9754D5"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280" w:type="dxa"/>
            <w:tcBorders>
              <w:top w:val="nil"/>
              <w:left w:val="nil"/>
              <w:bottom w:val="nil"/>
              <w:right w:val="nil"/>
            </w:tcBorders>
            <w:noWrap/>
            <w:vAlign w:val="center"/>
            <w:hideMark/>
          </w:tcPr>
          <w:p w14:paraId="6E9E543B"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480" w:type="dxa"/>
            <w:tcBorders>
              <w:top w:val="nil"/>
              <w:left w:val="nil"/>
              <w:bottom w:val="nil"/>
              <w:right w:val="single" w:sz="4" w:space="0" w:color="auto"/>
            </w:tcBorders>
            <w:noWrap/>
            <w:vAlign w:val="center"/>
            <w:hideMark/>
          </w:tcPr>
          <w:p w14:paraId="4B12480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4242C514"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06755760"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Atrial septal </w:t>
            </w:r>
            <w:proofErr w:type="spellStart"/>
            <w:r w:rsidRPr="001E7605">
              <w:rPr>
                <w:rFonts w:ascii="Garamond" w:eastAsia="Times New Roman" w:hAnsi="Garamond" w:cs="Calibri"/>
                <w:color w:val="000000"/>
                <w:sz w:val="22"/>
                <w:szCs w:val="18"/>
                <w:lang w:eastAsia="en-GB"/>
              </w:rPr>
              <w:t>defect</w:t>
            </w:r>
            <w:proofErr w:type="spellEnd"/>
            <w:r w:rsidRPr="001E7605">
              <w:rPr>
                <w:rFonts w:ascii="Garamond" w:eastAsia="Times New Roman" w:hAnsi="Garamond" w:cs="Calibri"/>
                <w:color w:val="000000"/>
                <w:sz w:val="22"/>
                <w:szCs w:val="18"/>
                <w:lang w:eastAsia="en-GB"/>
              </w:rPr>
              <w:t xml:space="preserve"> (</w:t>
            </w:r>
            <w:r w:rsidRPr="001E7605">
              <w:rPr>
                <w:rFonts w:ascii="Garamond" w:eastAsia="Times New Roman" w:hAnsi="Garamond" w:cs="Calibri"/>
                <w:i/>
                <w:iCs/>
                <w:color w:val="000000"/>
                <w:sz w:val="22"/>
                <w:szCs w:val="22"/>
                <w:lang w:eastAsia="en-GB"/>
              </w:rPr>
              <w:t>n)</w:t>
            </w:r>
          </w:p>
        </w:tc>
        <w:tc>
          <w:tcPr>
            <w:tcW w:w="1559" w:type="dxa"/>
            <w:tcBorders>
              <w:top w:val="nil"/>
              <w:left w:val="single" w:sz="4" w:space="0" w:color="FFFFFF" w:themeColor="background1"/>
              <w:bottom w:val="nil"/>
              <w:right w:val="nil"/>
            </w:tcBorders>
            <w:noWrap/>
            <w:vAlign w:val="center"/>
            <w:hideMark/>
          </w:tcPr>
          <w:p w14:paraId="5EA5B28C"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240" w:type="dxa"/>
            <w:tcBorders>
              <w:top w:val="nil"/>
              <w:left w:val="nil"/>
              <w:bottom w:val="nil"/>
              <w:right w:val="nil"/>
            </w:tcBorders>
            <w:noWrap/>
            <w:vAlign w:val="center"/>
            <w:hideMark/>
          </w:tcPr>
          <w:p w14:paraId="15BF994D"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280" w:type="dxa"/>
            <w:tcBorders>
              <w:top w:val="nil"/>
              <w:left w:val="nil"/>
              <w:bottom w:val="nil"/>
              <w:right w:val="nil"/>
            </w:tcBorders>
            <w:noWrap/>
            <w:vAlign w:val="center"/>
            <w:hideMark/>
          </w:tcPr>
          <w:p w14:paraId="7268DCC9"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480" w:type="dxa"/>
            <w:tcBorders>
              <w:top w:val="nil"/>
              <w:left w:val="nil"/>
              <w:bottom w:val="nil"/>
              <w:right w:val="single" w:sz="4" w:space="0" w:color="auto"/>
            </w:tcBorders>
            <w:noWrap/>
            <w:vAlign w:val="center"/>
            <w:hideMark/>
          </w:tcPr>
          <w:p w14:paraId="3BEB059A"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0C9706DA" w14:textId="77777777" w:rsidTr="00C02FD2">
        <w:trPr>
          <w:trHeight w:val="300"/>
        </w:trPr>
        <w:tc>
          <w:tcPr>
            <w:tcW w:w="3261" w:type="dxa"/>
            <w:tcBorders>
              <w:top w:val="nil"/>
              <w:left w:val="single" w:sz="4" w:space="0" w:color="auto"/>
              <w:bottom w:val="nil"/>
              <w:right w:val="single" w:sz="4" w:space="0" w:color="FFFFFF" w:themeColor="background1"/>
            </w:tcBorders>
            <w:noWrap/>
            <w:vAlign w:val="center"/>
            <w:hideMark/>
          </w:tcPr>
          <w:p w14:paraId="168F6BD5"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eastAsia="en-GB"/>
              </w:rPr>
              <w:t xml:space="preserve">            LVAD </w:t>
            </w:r>
            <w:r w:rsidRPr="001E7605">
              <w:rPr>
                <w:rFonts w:ascii="Garamond" w:eastAsia="Times New Roman" w:hAnsi="Garamond" w:cs="Calibri"/>
                <w:i/>
                <w:iCs/>
                <w:color w:val="000000"/>
                <w:sz w:val="22"/>
                <w:szCs w:val="22"/>
                <w:lang w:eastAsia="en-GB"/>
              </w:rPr>
              <w:t>(n</w:t>
            </w:r>
            <w:r w:rsidRPr="001E7605">
              <w:rPr>
                <w:rFonts w:ascii="Garamond" w:eastAsia="Times New Roman" w:hAnsi="Garamond" w:cs="Calibri"/>
                <w:color w:val="000000"/>
                <w:sz w:val="22"/>
                <w:szCs w:val="22"/>
                <w:lang w:eastAsia="en-GB"/>
              </w:rPr>
              <w:t>)</w:t>
            </w:r>
          </w:p>
        </w:tc>
        <w:tc>
          <w:tcPr>
            <w:tcW w:w="1559" w:type="dxa"/>
            <w:tcBorders>
              <w:top w:val="nil"/>
              <w:left w:val="single" w:sz="4" w:space="0" w:color="FFFFFF" w:themeColor="background1"/>
              <w:bottom w:val="nil"/>
              <w:right w:val="nil"/>
            </w:tcBorders>
            <w:noWrap/>
            <w:vAlign w:val="center"/>
            <w:hideMark/>
          </w:tcPr>
          <w:p w14:paraId="17287C82"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c>
          <w:tcPr>
            <w:tcW w:w="1240" w:type="dxa"/>
            <w:tcBorders>
              <w:top w:val="nil"/>
              <w:left w:val="nil"/>
              <w:bottom w:val="nil"/>
              <w:right w:val="nil"/>
            </w:tcBorders>
            <w:noWrap/>
            <w:vAlign w:val="center"/>
            <w:hideMark/>
          </w:tcPr>
          <w:p w14:paraId="073D4E90"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280" w:type="dxa"/>
            <w:tcBorders>
              <w:top w:val="nil"/>
              <w:left w:val="nil"/>
              <w:bottom w:val="nil"/>
              <w:right w:val="nil"/>
            </w:tcBorders>
            <w:noWrap/>
            <w:vAlign w:val="center"/>
            <w:hideMark/>
          </w:tcPr>
          <w:p w14:paraId="55FB9ACA"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c>
          <w:tcPr>
            <w:tcW w:w="1480" w:type="dxa"/>
            <w:tcBorders>
              <w:top w:val="nil"/>
              <w:left w:val="nil"/>
              <w:bottom w:val="nil"/>
              <w:right w:val="single" w:sz="4" w:space="0" w:color="auto"/>
            </w:tcBorders>
            <w:noWrap/>
            <w:vAlign w:val="center"/>
            <w:hideMark/>
          </w:tcPr>
          <w:p w14:paraId="306E253B"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0</w:t>
            </w:r>
          </w:p>
        </w:tc>
      </w:tr>
      <w:tr w:rsidR="000C26EB" w:rsidRPr="001E7605" w14:paraId="5124686C" w14:textId="77777777" w:rsidTr="00C02FD2">
        <w:trPr>
          <w:trHeight w:val="315"/>
        </w:trPr>
        <w:tc>
          <w:tcPr>
            <w:tcW w:w="3261" w:type="dxa"/>
            <w:tcBorders>
              <w:top w:val="nil"/>
              <w:left w:val="single" w:sz="4" w:space="0" w:color="auto"/>
              <w:bottom w:val="double" w:sz="6" w:space="0" w:color="auto"/>
              <w:right w:val="single" w:sz="4" w:space="0" w:color="FFFFFF" w:themeColor="background1"/>
            </w:tcBorders>
            <w:noWrap/>
            <w:vAlign w:val="center"/>
            <w:hideMark/>
          </w:tcPr>
          <w:p w14:paraId="18EE9870" w14:textId="77777777" w:rsidR="000C26EB" w:rsidRPr="001E7605" w:rsidRDefault="000C26EB" w:rsidP="00CF3C6D">
            <w:pPr>
              <w:jc w:val="both"/>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18"/>
                <w:lang w:val="en-US" w:eastAsia="en-GB"/>
              </w:rPr>
              <w:t xml:space="preserve">            Combined (</w:t>
            </w:r>
            <w:r w:rsidRPr="001E7605">
              <w:rPr>
                <w:rFonts w:ascii="Garamond" w:eastAsia="Times New Roman" w:hAnsi="Garamond" w:cs="Calibri"/>
                <w:i/>
                <w:iCs/>
                <w:color w:val="000000"/>
                <w:sz w:val="22"/>
                <w:szCs w:val="22"/>
                <w:lang w:val="en-US" w:eastAsia="en-GB"/>
              </w:rPr>
              <w:t>n</w:t>
            </w:r>
            <w:r w:rsidRPr="001E7605">
              <w:rPr>
                <w:rFonts w:ascii="Garamond" w:eastAsia="Times New Roman" w:hAnsi="Garamond" w:cs="Calibri"/>
                <w:color w:val="000000"/>
                <w:sz w:val="22"/>
                <w:szCs w:val="22"/>
                <w:lang w:val="en-US" w:eastAsia="en-GB"/>
              </w:rPr>
              <w:t xml:space="preserve">)   </w:t>
            </w:r>
          </w:p>
        </w:tc>
        <w:tc>
          <w:tcPr>
            <w:tcW w:w="1559" w:type="dxa"/>
            <w:tcBorders>
              <w:top w:val="nil"/>
              <w:left w:val="single" w:sz="4" w:space="0" w:color="FFFFFF" w:themeColor="background1"/>
              <w:bottom w:val="double" w:sz="6" w:space="0" w:color="auto"/>
              <w:right w:val="nil"/>
            </w:tcBorders>
            <w:noWrap/>
            <w:vAlign w:val="center"/>
            <w:hideMark/>
          </w:tcPr>
          <w:p w14:paraId="145ABFDB"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12</w:t>
            </w:r>
          </w:p>
        </w:tc>
        <w:tc>
          <w:tcPr>
            <w:tcW w:w="1240" w:type="dxa"/>
            <w:tcBorders>
              <w:top w:val="nil"/>
              <w:left w:val="nil"/>
              <w:bottom w:val="double" w:sz="6" w:space="0" w:color="auto"/>
              <w:right w:val="nil"/>
            </w:tcBorders>
            <w:noWrap/>
            <w:vAlign w:val="center"/>
            <w:hideMark/>
          </w:tcPr>
          <w:p w14:paraId="787EECC0"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5</w:t>
            </w:r>
          </w:p>
        </w:tc>
        <w:tc>
          <w:tcPr>
            <w:tcW w:w="1280" w:type="dxa"/>
            <w:tcBorders>
              <w:top w:val="nil"/>
              <w:left w:val="nil"/>
              <w:bottom w:val="double" w:sz="6" w:space="0" w:color="auto"/>
              <w:right w:val="nil"/>
            </w:tcBorders>
            <w:noWrap/>
            <w:vAlign w:val="center"/>
            <w:hideMark/>
          </w:tcPr>
          <w:p w14:paraId="384D8ACB"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14</w:t>
            </w:r>
          </w:p>
        </w:tc>
        <w:tc>
          <w:tcPr>
            <w:tcW w:w="1480" w:type="dxa"/>
            <w:tcBorders>
              <w:top w:val="nil"/>
              <w:left w:val="nil"/>
              <w:bottom w:val="double" w:sz="6" w:space="0" w:color="auto"/>
              <w:right w:val="single" w:sz="4" w:space="0" w:color="auto"/>
            </w:tcBorders>
            <w:noWrap/>
            <w:vAlign w:val="center"/>
            <w:hideMark/>
          </w:tcPr>
          <w:p w14:paraId="11D27021" w14:textId="77777777" w:rsidR="000C26EB" w:rsidRPr="001E7605" w:rsidRDefault="000C26EB" w:rsidP="00CF3C6D">
            <w:pPr>
              <w:jc w:val="center"/>
              <w:rPr>
                <w:rFonts w:ascii="Garamond" w:eastAsia="Times New Roman" w:hAnsi="Garamond" w:cs="Calibri"/>
                <w:color w:val="000000"/>
                <w:sz w:val="22"/>
                <w:szCs w:val="22"/>
                <w:lang w:val="en-GB" w:eastAsia="en-GB"/>
              </w:rPr>
            </w:pPr>
            <w:r w:rsidRPr="001E7605">
              <w:rPr>
                <w:rFonts w:ascii="Garamond" w:eastAsia="Times New Roman" w:hAnsi="Garamond" w:cs="Calibri"/>
                <w:color w:val="000000"/>
                <w:sz w:val="22"/>
                <w:szCs w:val="22"/>
                <w:lang w:val="en-GB" w:eastAsia="en-GB"/>
              </w:rPr>
              <w:t>1</w:t>
            </w:r>
          </w:p>
        </w:tc>
      </w:tr>
    </w:tbl>
    <w:p w14:paraId="7CC6C72E" w14:textId="77777777" w:rsidR="000C26EB" w:rsidRPr="001E7605" w:rsidRDefault="000C26EB" w:rsidP="000C26EB">
      <w:pPr>
        <w:rPr>
          <w:rFonts w:ascii="Garamond" w:hAnsi="Garamond"/>
          <w:sz w:val="22"/>
          <w:szCs w:val="18"/>
          <w:lang w:val="en-GB"/>
        </w:rPr>
      </w:pPr>
    </w:p>
    <w:p w14:paraId="70D428A4" w14:textId="77777777" w:rsidR="000C26EB" w:rsidRPr="00A063CC" w:rsidRDefault="000C26EB" w:rsidP="000C26EB">
      <w:pPr>
        <w:jc w:val="both"/>
        <w:rPr>
          <w:rFonts w:ascii="Garamond" w:hAnsi="Garamond"/>
          <w:sz w:val="22"/>
          <w:szCs w:val="18"/>
          <w:lang w:val="en-GB"/>
        </w:rPr>
      </w:pPr>
      <w:r w:rsidRPr="001E7605">
        <w:rPr>
          <w:rFonts w:ascii="Garamond" w:hAnsi="Garamond"/>
          <w:sz w:val="22"/>
          <w:szCs w:val="18"/>
          <w:lang w:val="en-GB"/>
        </w:rPr>
        <w:t>SR, sinus rhythm; PX AF, paroxysmal atrial fibrillation; PM AF, persistent/permanent atrial fibrillation; AF, atrial fibrillation; ACE, angiotensin converting enzyme; ARBs, angiotensin II type 1 receptor blockers; CABG, coronary artery bypass grafting; LVAD, left ventricular assist device. AF ablation patients were included in PX AF group.</w:t>
      </w:r>
    </w:p>
    <w:p w14:paraId="7475F47E" w14:textId="77777777" w:rsidR="000C26EB" w:rsidRPr="00FA218B" w:rsidRDefault="000C26EB" w:rsidP="00FA218B">
      <w:pPr>
        <w:spacing w:after="240" w:line="276" w:lineRule="auto"/>
        <w:contextualSpacing/>
        <w:jc w:val="both"/>
        <w:rPr>
          <w:rFonts w:ascii="Garamond" w:eastAsia="Calibri" w:hAnsi="Garamond" w:cs="Times New Roman"/>
          <w:lang w:val="en-GB"/>
        </w:rPr>
      </w:pPr>
    </w:p>
    <w:p w14:paraId="697E0E19" w14:textId="77777777" w:rsidR="00F26BE2" w:rsidRPr="003800AE" w:rsidRDefault="00F26BE2" w:rsidP="004B2876">
      <w:pPr>
        <w:pStyle w:val="TextoTesis"/>
      </w:pPr>
    </w:p>
    <w:p w14:paraId="2D456C37" w14:textId="5DD401B7" w:rsidR="00325120" w:rsidRDefault="00325120" w:rsidP="004B2876">
      <w:pPr>
        <w:spacing w:line="276" w:lineRule="auto"/>
        <w:rPr>
          <w:lang w:val="en-GB"/>
        </w:rPr>
      </w:pPr>
    </w:p>
    <w:p w14:paraId="2952B8FA" w14:textId="77777777" w:rsidR="00C82D19" w:rsidRPr="000B48C9" w:rsidRDefault="00C82D19" w:rsidP="0082688A">
      <w:pPr>
        <w:spacing w:line="276" w:lineRule="auto"/>
        <w:rPr>
          <w:lang w:val="en-GB"/>
        </w:rPr>
      </w:pPr>
    </w:p>
    <w:sectPr w:rsidR="00C82D19" w:rsidRPr="000B48C9">
      <w:head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D17BF" w14:textId="77777777" w:rsidR="005D59B5" w:rsidRDefault="005D59B5" w:rsidP="000A2C0C">
      <w:r>
        <w:separator/>
      </w:r>
    </w:p>
  </w:endnote>
  <w:endnote w:type="continuationSeparator" w:id="0">
    <w:p w14:paraId="77FFB569" w14:textId="77777777" w:rsidR="005D59B5" w:rsidRDefault="005D59B5" w:rsidP="000A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 w:name="Helvetica Neue Medium Extended">
    <w:altName w:val="Arial"/>
    <w:charset w:val="4D"/>
    <w:family w:val="swiss"/>
    <w:pitch w:val="variable"/>
    <w:sig w:usb0="A00002FF" w:usb1="5000205B" w:usb2="00000002" w:usb3="00000000" w:csb0="0000009B" w:csb1="00000000"/>
  </w:font>
  <w:font w:name="Segoe UI">
    <w:panose1 w:val="020B0502040204020203"/>
    <w:charset w:val="00"/>
    <w:family w:val="swiss"/>
    <w:pitch w:val="variable"/>
    <w:sig w:usb0="E4002EFF" w:usb1="C000E47F" w:usb2="00000009" w:usb3="00000000" w:csb0="000001FF" w:csb1="00000000"/>
  </w:font>
  <w:font w:name="Avenir Book">
    <w:altName w:val="Tw Cen MT"/>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Cuerpo)">
    <w:altName w:val="Calibri"/>
    <w:charset w:val="00"/>
    <w:family w:val="roman"/>
    <w:pitch w:val="default"/>
  </w:font>
  <w:font w:name="Times New Roman (Cuerpo en alfa">
    <w:altName w:val="Times New Roman"/>
    <w:charset w:val="00"/>
    <w:family w:val="roman"/>
    <w:pitch w:val="default"/>
  </w:font>
  <w:font w:name="Roboto Condensed">
    <w:charset w:val="00"/>
    <w:family w:val="auto"/>
    <w:pitch w:val="variable"/>
    <w:sig w:usb0="E0000AFF" w:usb1="5000217F" w:usb2="00000021" w:usb3="00000000" w:csb0="0000019F" w:csb1="00000000"/>
  </w:font>
  <w:font w:name="Gill Sans MT">
    <w:panose1 w:val="020B0502020104020203"/>
    <w:charset w:val="00"/>
    <w:family w:val="swiss"/>
    <w:pitch w:val="variable"/>
    <w:sig w:usb0="00000007" w:usb1="00000000" w:usb2="00000000" w:usb3="00000000" w:csb0="00000003" w:csb1="00000000"/>
  </w:font>
  <w:font w:name="Cascadia Code ExtraLight">
    <w:panose1 w:val="020B0609020000020004"/>
    <w:charset w:val="00"/>
    <w:family w:val="modern"/>
    <w:pitch w:val="fixed"/>
    <w:sig w:usb0="A1002AFF" w:usb1="C200F9FB" w:usb2="0004002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235D7" w14:textId="77777777" w:rsidR="005D59B5" w:rsidRDefault="005D59B5" w:rsidP="000A2C0C">
      <w:r>
        <w:separator/>
      </w:r>
    </w:p>
  </w:footnote>
  <w:footnote w:type="continuationSeparator" w:id="0">
    <w:p w14:paraId="735A6B7B" w14:textId="77777777" w:rsidR="005D59B5" w:rsidRDefault="005D59B5" w:rsidP="000A2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915350"/>
      <w:docPartObj>
        <w:docPartGallery w:val="Page Numbers (Top of Page)"/>
        <w:docPartUnique/>
      </w:docPartObj>
    </w:sdtPr>
    <w:sdtEndPr>
      <w:rPr>
        <w:noProof/>
      </w:rPr>
    </w:sdtEndPr>
    <w:sdtContent>
      <w:p w14:paraId="0FA6E8CE" w14:textId="0BD62D48" w:rsidR="00E544F0" w:rsidRDefault="00E544F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BE09606" w14:textId="11C0ED64" w:rsidR="00E544F0" w:rsidRDefault="00E544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3D59"/>
    <w:multiLevelType w:val="multilevel"/>
    <w:tmpl w:val="0D166926"/>
    <w:styleLink w:val="Listaactual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973B3D"/>
    <w:multiLevelType w:val="multilevel"/>
    <w:tmpl w:val="86BC80A0"/>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3312D2"/>
    <w:multiLevelType w:val="multilevel"/>
    <w:tmpl w:val="1AC8C7F0"/>
    <w:styleLink w:val="Listaactual32"/>
    <w:lvl w:ilvl="0">
      <w:start w:val="1"/>
      <w:numFmt w:val="decimal"/>
      <w:lvlText w:val="2.1.%1."/>
      <w:lvlJc w:val="left"/>
      <w:pPr>
        <w:ind w:left="851" w:hanging="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CF3BB6"/>
    <w:multiLevelType w:val="multilevel"/>
    <w:tmpl w:val="1B8E7410"/>
    <w:styleLink w:val="Listaactual20"/>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5265EA"/>
    <w:multiLevelType w:val="multilevel"/>
    <w:tmpl w:val="A0963472"/>
    <w:styleLink w:val="Listaactual35"/>
    <w:lvl w:ilvl="0">
      <w:start w:val="1"/>
      <w:numFmt w:val="decimal"/>
      <w:lvlText w:val="1.3.%1."/>
      <w:lvlJc w:val="left"/>
      <w:pPr>
        <w:ind w:left="1559" w:hanging="851"/>
      </w:pPr>
      <w:rPr>
        <w:u w:val="none"/>
      </w:rPr>
    </w:lvl>
    <w:lvl w:ilvl="1">
      <w:start w:val="1"/>
      <w:numFmt w:val="lowerLetter"/>
      <w:lvlText w:val="%2."/>
      <w:lvlJc w:val="left"/>
      <w:pPr>
        <w:ind w:left="1439" w:hanging="360"/>
      </w:pPr>
    </w:lvl>
    <w:lvl w:ilvl="2">
      <w:start w:val="1"/>
      <w:numFmt w:val="lowerRoman"/>
      <w:lvlText w:val="%3."/>
      <w:lvlJc w:val="right"/>
      <w:pPr>
        <w:ind w:left="2159" w:hanging="180"/>
      </w:pPr>
    </w:lvl>
    <w:lvl w:ilvl="3">
      <w:start w:val="1"/>
      <w:numFmt w:val="decimal"/>
      <w:lvlText w:val="%4."/>
      <w:lvlJc w:val="left"/>
      <w:pPr>
        <w:ind w:left="2879" w:hanging="360"/>
      </w:pPr>
    </w:lvl>
    <w:lvl w:ilvl="4">
      <w:start w:val="1"/>
      <w:numFmt w:val="lowerLetter"/>
      <w:lvlText w:val="%5."/>
      <w:lvlJc w:val="left"/>
      <w:pPr>
        <w:ind w:left="3599" w:hanging="360"/>
      </w:pPr>
    </w:lvl>
    <w:lvl w:ilvl="5">
      <w:start w:val="1"/>
      <w:numFmt w:val="lowerRoman"/>
      <w:lvlText w:val="%6."/>
      <w:lvlJc w:val="right"/>
      <w:pPr>
        <w:ind w:left="4319" w:hanging="180"/>
      </w:pPr>
    </w:lvl>
    <w:lvl w:ilvl="6">
      <w:start w:val="1"/>
      <w:numFmt w:val="decimal"/>
      <w:lvlText w:val="%7."/>
      <w:lvlJc w:val="left"/>
      <w:pPr>
        <w:ind w:left="5039" w:hanging="360"/>
      </w:pPr>
    </w:lvl>
    <w:lvl w:ilvl="7">
      <w:start w:val="1"/>
      <w:numFmt w:val="lowerLetter"/>
      <w:lvlText w:val="%8."/>
      <w:lvlJc w:val="left"/>
      <w:pPr>
        <w:ind w:left="5759" w:hanging="360"/>
      </w:pPr>
    </w:lvl>
    <w:lvl w:ilvl="8">
      <w:start w:val="1"/>
      <w:numFmt w:val="lowerRoman"/>
      <w:lvlText w:val="%9."/>
      <w:lvlJc w:val="right"/>
      <w:pPr>
        <w:ind w:left="6479" w:hanging="180"/>
      </w:pPr>
    </w:lvl>
  </w:abstractNum>
  <w:abstractNum w:abstractNumId="5" w15:restartNumberingAfterBreak="0">
    <w:nsid w:val="10FA0CB0"/>
    <w:multiLevelType w:val="multilevel"/>
    <w:tmpl w:val="040A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C60A31"/>
    <w:multiLevelType w:val="multilevel"/>
    <w:tmpl w:val="0D166926"/>
    <w:styleLink w:val="Listaactual1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8803AD"/>
    <w:multiLevelType w:val="multilevel"/>
    <w:tmpl w:val="7DFA4E56"/>
    <w:styleLink w:val="Listaactual2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0506067"/>
    <w:multiLevelType w:val="hybridMultilevel"/>
    <w:tmpl w:val="723A8FA8"/>
    <w:lvl w:ilvl="0" w:tplc="83BE91BE">
      <w:start w:val="1"/>
      <w:numFmt w:val="decimal"/>
      <w:pStyle w:val="Estilo2"/>
      <w:lvlText w:val="2.1.%1."/>
      <w:lvlJc w:val="left"/>
      <w:pPr>
        <w:ind w:left="851" w:hanging="851"/>
      </w:pPr>
      <w:rPr>
        <w:rFonts w:hint="default"/>
      </w:rPr>
    </w:lvl>
    <w:lvl w:ilvl="1" w:tplc="040A0019" w:tentative="1">
      <w:start w:val="1"/>
      <w:numFmt w:val="lowerLetter"/>
      <w:lvlText w:val="%2."/>
      <w:lvlJc w:val="left"/>
      <w:pPr>
        <w:ind w:left="1440" w:hanging="360"/>
      </w:pPr>
    </w:lvl>
    <w:lvl w:ilvl="2" w:tplc="040A001B">
      <w:start w:val="1"/>
      <w:numFmt w:val="lowerRoman"/>
      <w:pStyle w:val="Estilo2"/>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23FE0F6D"/>
    <w:multiLevelType w:val="hybridMultilevel"/>
    <w:tmpl w:val="A4DC16B4"/>
    <w:lvl w:ilvl="0" w:tplc="376CA94E">
      <w:start w:val="1"/>
      <w:numFmt w:val="decimal"/>
      <w:pStyle w:val="Tesis"/>
      <w:lvlText w:val="%1."/>
      <w:lvlJc w:val="left"/>
      <w:pPr>
        <w:ind w:left="720" w:hanging="360"/>
      </w:pPr>
      <w:rPr>
        <w:rFonts w:hint="default"/>
      </w:rPr>
    </w:lvl>
    <w:lvl w:ilvl="1" w:tplc="0C80EBDE">
      <w:start w:val="1"/>
      <w:numFmt w:val="decimal"/>
      <w:lvlText w:val="3.%2."/>
      <w:lvlJc w:val="left"/>
      <w:pPr>
        <w:ind w:left="1440" w:hanging="360"/>
      </w:pPr>
      <w:rPr>
        <w:rFonts w:hint="default"/>
      </w:r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261F2E83"/>
    <w:multiLevelType w:val="multilevel"/>
    <w:tmpl w:val="D0B2B30E"/>
    <w:styleLink w:val="Listaactual9"/>
    <w:lvl w:ilvl="0">
      <w:start w:val="1"/>
      <w:numFmt w:val="decimal"/>
      <w:lvlText w:val="1.1.%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D0D0547"/>
    <w:multiLevelType w:val="multilevel"/>
    <w:tmpl w:val="757A666E"/>
    <w:styleLink w:val="Listaactual25"/>
    <w:lvl w:ilvl="0">
      <w:start w:val="1"/>
      <w:numFmt w:val="decimal"/>
      <w:lvlText w:val="2.%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EA70180"/>
    <w:multiLevelType w:val="multilevel"/>
    <w:tmpl w:val="040A001D"/>
    <w:styleLink w:val="Listaactu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4535B9"/>
    <w:multiLevelType w:val="multilevel"/>
    <w:tmpl w:val="C8E44DB6"/>
    <w:styleLink w:val="Listaactual28"/>
    <w:lvl w:ilvl="0">
      <w:start w:val="1"/>
      <w:numFmt w:val="decimal"/>
      <w:lvlText w:val="1.3.%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8F2E2E"/>
    <w:multiLevelType w:val="multilevel"/>
    <w:tmpl w:val="587882D8"/>
    <w:styleLink w:val="Listaactual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3F57B95"/>
    <w:multiLevelType w:val="multilevel"/>
    <w:tmpl w:val="040A001D"/>
    <w:styleLink w:val="Listaactual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6727B7B"/>
    <w:multiLevelType w:val="multilevel"/>
    <w:tmpl w:val="2FBA4288"/>
    <w:styleLink w:val="Listaactual34"/>
    <w:lvl w:ilvl="0">
      <w:start w:val="1"/>
      <w:numFmt w:val="decimal"/>
      <w:lvlText w:val="1.%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AA645D"/>
    <w:multiLevelType w:val="multilevel"/>
    <w:tmpl w:val="D552445C"/>
    <w:styleLink w:val="Listaactual16"/>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ED55C8"/>
    <w:multiLevelType w:val="multilevel"/>
    <w:tmpl w:val="9BACAEFE"/>
    <w:styleLink w:val="Listaactual33"/>
    <w:lvl w:ilvl="0">
      <w:start w:val="1"/>
      <w:numFmt w:val="decimal"/>
      <w:lvlText w:val="2.9.%1."/>
      <w:lvlJc w:val="left"/>
      <w:pPr>
        <w:ind w:left="851" w:hanging="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C604FE"/>
    <w:multiLevelType w:val="multilevel"/>
    <w:tmpl w:val="88442AC4"/>
    <w:numStyleLink w:val="111111"/>
  </w:abstractNum>
  <w:abstractNum w:abstractNumId="20" w15:restartNumberingAfterBreak="0">
    <w:nsid w:val="42AD1EED"/>
    <w:multiLevelType w:val="multilevel"/>
    <w:tmpl w:val="040A001D"/>
    <w:styleLink w:val="Listaactual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53258D8"/>
    <w:multiLevelType w:val="multilevel"/>
    <w:tmpl w:val="AB1CE072"/>
    <w:styleLink w:val="Listaactual31"/>
    <w:lvl w:ilvl="0">
      <w:start w:val="1"/>
      <w:numFmt w:val="decimal"/>
      <w:lvlText w:val="1.3.%1."/>
      <w:lvlJc w:val="left"/>
      <w:pPr>
        <w:ind w:left="851" w:hanging="85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7431A4E"/>
    <w:multiLevelType w:val="multilevel"/>
    <w:tmpl w:val="AFDE80C4"/>
    <w:styleLink w:val="Listaactual8"/>
    <w:lvl w:ilvl="0">
      <w:start w:val="1"/>
      <w:numFmt w:val="decimal"/>
      <w:lvlText w:val="1.1.%1."/>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B71605C"/>
    <w:multiLevelType w:val="multilevel"/>
    <w:tmpl w:val="C3705C4A"/>
    <w:styleLink w:val="Listaactual30"/>
    <w:lvl w:ilvl="0">
      <w:start w:val="1"/>
      <w:numFmt w:val="decimal"/>
      <w:lvlText w:val="1.3.%1."/>
      <w:lvlJc w:val="left"/>
      <w:pPr>
        <w:ind w:left="851" w:hanging="85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C5067D7"/>
    <w:multiLevelType w:val="hybridMultilevel"/>
    <w:tmpl w:val="FAB6A5A0"/>
    <w:lvl w:ilvl="0" w:tplc="995618D4">
      <w:start w:val="1"/>
      <w:numFmt w:val="bullet"/>
      <w:pStyle w:val="Textotesispuntos"/>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4F0C4F4B"/>
    <w:multiLevelType w:val="multilevel"/>
    <w:tmpl w:val="B1FA60D8"/>
    <w:styleLink w:val="Listaactual18"/>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0162087"/>
    <w:multiLevelType w:val="multilevel"/>
    <w:tmpl w:val="5AD0594E"/>
    <w:styleLink w:val="Listaactual36"/>
    <w:lvl w:ilvl="0">
      <w:start w:val="1"/>
      <w:numFmt w:val="decimal"/>
      <w:lvlText w:val="1.%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46617D8"/>
    <w:multiLevelType w:val="multilevel"/>
    <w:tmpl w:val="75A49E6A"/>
    <w:styleLink w:val="Listaactual1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A507D5A"/>
    <w:multiLevelType w:val="multilevel"/>
    <w:tmpl w:val="4594CE6A"/>
    <w:styleLink w:val="Listaactual29"/>
    <w:lvl w:ilvl="0">
      <w:start w:val="1"/>
      <w:numFmt w:val="decimal"/>
      <w:lvlText w:val="1.%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CC132D"/>
    <w:multiLevelType w:val="multilevel"/>
    <w:tmpl w:val="E71A6C02"/>
    <w:styleLink w:val="Listaactual1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AF077DE"/>
    <w:multiLevelType w:val="multilevel"/>
    <w:tmpl w:val="D552445C"/>
    <w:styleLink w:val="Listaactual17"/>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0E4580A"/>
    <w:multiLevelType w:val="multilevel"/>
    <w:tmpl w:val="F0AEC924"/>
    <w:styleLink w:val="Listaactual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60F85680"/>
    <w:multiLevelType w:val="multilevel"/>
    <w:tmpl w:val="1480EB50"/>
    <w:lvl w:ilvl="0">
      <w:start w:val="1"/>
      <w:numFmt w:val="decimal"/>
      <w:lvlText w:val="2.%1."/>
      <w:lvlJc w:val="left"/>
      <w:pPr>
        <w:ind w:left="851" w:hanging="851"/>
      </w:pPr>
      <w:rPr>
        <w:rFonts w:hint="default"/>
      </w:rPr>
    </w:lvl>
    <w:lvl w:ilvl="1">
      <w:start w:val="1"/>
      <w:numFmt w:val="decimal"/>
      <w:lvlText w:val="2.%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15:restartNumberingAfterBreak="0">
    <w:nsid w:val="63C724A9"/>
    <w:multiLevelType w:val="hybridMultilevel"/>
    <w:tmpl w:val="2458C81C"/>
    <w:lvl w:ilvl="0" w:tplc="B300A186">
      <w:start w:val="1"/>
      <w:numFmt w:val="decimal"/>
      <w:pStyle w:val="Estilo1"/>
      <w:lvlText w:val="2.1.%1."/>
      <w:lvlJc w:val="left"/>
      <w:pPr>
        <w:ind w:left="851" w:hanging="851"/>
      </w:pPr>
      <w:rPr>
        <w:rFonts w:hint="default"/>
      </w:rPr>
    </w:lvl>
    <w:lvl w:ilvl="1" w:tplc="040A0019" w:tentative="1">
      <w:start w:val="1"/>
      <w:numFmt w:val="lowerLetter"/>
      <w:lvlText w:val="%2."/>
      <w:lvlJc w:val="left"/>
      <w:pPr>
        <w:ind w:left="1440" w:hanging="360"/>
      </w:pPr>
    </w:lvl>
    <w:lvl w:ilvl="2" w:tplc="040A001B" w:tentative="1">
      <w:start w:val="1"/>
      <w:numFmt w:val="lowerRoman"/>
      <w:pStyle w:val="Estilo1"/>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64903FE9"/>
    <w:multiLevelType w:val="multilevel"/>
    <w:tmpl w:val="88442AC4"/>
    <w:styleLink w:val="111111"/>
    <w:lvl w:ilvl="0">
      <w:start w:val="1"/>
      <w:numFmt w:val="decimal"/>
      <w:pStyle w:val="Ttulo1phd"/>
      <w:lvlText w:val="%1."/>
      <w:lvlJc w:val="left"/>
      <w:pPr>
        <w:ind w:left="567" w:hanging="567"/>
      </w:pPr>
      <w:rPr>
        <w:rFonts w:hint="default"/>
      </w:rPr>
    </w:lvl>
    <w:lvl w:ilvl="1">
      <w:start w:val="1"/>
      <w:numFmt w:val="decimal"/>
      <w:pStyle w:val="Ttulo2Tesis"/>
      <w:lvlText w:val="%1.%2."/>
      <w:lvlJc w:val="left"/>
      <w:pPr>
        <w:ind w:left="397" w:hanging="397"/>
      </w:pPr>
      <w:rPr>
        <w:rFonts w:hint="default"/>
      </w:rPr>
    </w:lvl>
    <w:lvl w:ilvl="2">
      <w:start w:val="1"/>
      <w:numFmt w:val="decimal"/>
      <w:lvlText w:val="%1.%2.%3."/>
      <w:lvlJc w:val="left"/>
      <w:pPr>
        <w:ind w:left="397" w:hanging="39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5C63ADE"/>
    <w:multiLevelType w:val="multilevel"/>
    <w:tmpl w:val="040A001D"/>
    <w:styleLink w:val="Listaactu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5FF2945"/>
    <w:multiLevelType w:val="multilevel"/>
    <w:tmpl w:val="02248CCE"/>
    <w:styleLink w:val="Listaactual2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668D71FE"/>
    <w:multiLevelType w:val="multilevel"/>
    <w:tmpl w:val="13E21816"/>
    <w:styleLink w:val="Listaactual21"/>
    <w:lvl w:ilvl="0">
      <w:start w:val="1"/>
      <w:numFmt w:val="decimal"/>
      <w:lvlText w:val="1.%1."/>
      <w:lvlJc w:val="left"/>
      <w:pPr>
        <w:ind w:left="360" w:hanging="360"/>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7557D95"/>
    <w:multiLevelType w:val="multilevel"/>
    <w:tmpl w:val="1B8E7410"/>
    <w:styleLink w:val="Listaactual19"/>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C8153DC"/>
    <w:multiLevelType w:val="multilevel"/>
    <w:tmpl w:val="675A7C8A"/>
    <w:styleLink w:val="Listaactual38"/>
    <w:lvl w:ilvl="0">
      <w:start w:val="1"/>
      <w:numFmt w:val="decimal"/>
      <w:lvlText w:val="%1."/>
      <w:lvlJc w:val="left"/>
      <w:pPr>
        <w:ind w:left="360" w:hanging="360"/>
      </w:pPr>
      <w:rPr>
        <w:rFonts w:hint="default"/>
      </w:rPr>
    </w:lvl>
    <w:lvl w:ilvl="1">
      <w:start w:val="1"/>
      <w:numFmt w:val="decimal"/>
      <w:lvlText w:val="2.%2."/>
      <w:lvlJc w:val="left"/>
      <w:pPr>
        <w:ind w:left="792" w:hanging="792"/>
      </w:pPr>
      <w:rPr>
        <w:rFonts w:hint="default"/>
      </w:rPr>
    </w:lvl>
    <w:lvl w:ilvl="2">
      <w:start w:val="1"/>
      <w:numFmt w:val="decimal"/>
      <w:isLgl/>
      <w:lvlText w:val="2.%3.%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FF3145A"/>
    <w:multiLevelType w:val="multilevel"/>
    <w:tmpl w:val="3FCCC958"/>
    <w:styleLink w:val="Listaactual24"/>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26D02B4"/>
    <w:multiLevelType w:val="multilevel"/>
    <w:tmpl w:val="4F307AF2"/>
    <w:styleLink w:val="Listaactual5"/>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475003A"/>
    <w:multiLevelType w:val="multilevel"/>
    <w:tmpl w:val="A524D55E"/>
    <w:styleLink w:val="Listaactual37"/>
    <w:lvl w:ilvl="0">
      <w:start w:val="1"/>
      <w:numFmt w:val="decimal"/>
      <w:lvlText w:val="1.3.%1."/>
      <w:lvlJc w:val="left"/>
      <w:pPr>
        <w:ind w:left="851" w:hanging="851"/>
      </w:pPr>
      <w:rPr>
        <w:u w:val="none"/>
      </w:rPr>
    </w:lvl>
    <w:lvl w:ilvl="1">
      <w:start w:val="1"/>
      <w:numFmt w:val="lowerLetter"/>
      <w:lvlText w:val="%2."/>
      <w:lvlJc w:val="left"/>
      <w:pPr>
        <w:ind w:left="1439" w:hanging="360"/>
      </w:pPr>
    </w:lvl>
    <w:lvl w:ilvl="2">
      <w:start w:val="1"/>
      <w:numFmt w:val="lowerRoman"/>
      <w:lvlText w:val="%3."/>
      <w:lvlJc w:val="right"/>
      <w:pPr>
        <w:ind w:left="2159" w:hanging="180"/>
      </w:pPr>
    </w:lvl>
    <w:lvl w:ilvl="3">
      <w:start w:val="1"/>
      <w:numFmt w:val="decimal"/>
      <w:lvlText w:val="%4."/>
      <w:lvlJc w:val="left"/>
      <w:pPr>
        <w:ind w:left="2879" w:hanging="360"/>
      </w:pPr>
    </w:lvl>
    <w:lvl w:ilvl="4">
      <w:start w:val="1"/>
      <w:numFmt w:val="lowerLetter"/>
      <w:lvlText w:val="%5."/>
      <w:lvlJc w:val="left"/>
      <w:pPr>
        <w:ind w:left="3599" w:hanging="360"/>
      </w:pPr>
    </w:lvl>
    <w:lvl w:ilvl="5">
      <w:start w:val="1"/>
      <w:numFmt w:val="lowerRoman"/>
      <w:lvlText w:val="%6."/>
      <w:lvlJc w:val="right"/>
      <w:pPr>
        <w:ind w:left="4319" w:hanging="180"/>
      </w:pPr>
    </w:lvl>
    <w:lvl w:ilvl="6">
      <w:start w:val="1"/>
      <w:numFmt w:val="decimal"/>
      <w:lvlText w:val="%7."/>
      <w:lvlJc w:val="left"/>
      <w:pPr>
        <w:ind w:left="5039" w:hanging="360"/>
      </w:pPr>
    </w:lvl>
    <w:lvl w:ilvl="7">
      <w:start w:val="1"/>
      <w:numFmt w:val="lowerLetter"/>
      <w:lvlText w:val="%8."/>
      <w:lvlJc w:val="left"/>
      <w:pPr>
        <w:ind w:left="5759" w:hanging="360"/>
      </w:pPr>
    </w:lvl>
    <w:lvl w:ilvl="8">
      <w:start w:val="1"/>
      <w:numFmt w:val="lowerRoman"/>
      <w:lvlText w:val="%9."/>
      <w:lvlJc w:val="right"/>
      <w:pPr>
        <w:ind w:left="6479" w:hanging="180"/>
      </w:pPr>
    </w:lvl>
  </w:abstractNum>
  <w:abstractNum w:abstractNumId="43" w15:restartNumberingAfterBreak="0">
    <w:nsid w:val="7B36250D"/>
    <w:multiLevelType w:val="multilevel"/>
    <w:tmpl w:val="E65E2C9A"/>
    <w:styleLink w:val="Listaactual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AB344B"/>
    <w:multiLevelType w:val="hybridMultilevel"/>
    <w:tmpl w:val="AB626B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5" w15:restartNumberingAfterBreak="0">
    <w:nsid w:val="7C1E6451"/>
    <w:multiLevelType w:val="hybridMultilevel"/>
    <w:tmpl w:val="7A00ACF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6" w15:restartNumberingAfterBreak="0">
    <w:nsid w:val="7DB84089"/>
    <w:multiLevelType w:val="multilevel"/>
    <w:tmpl w:val="FEA83916"/>
    <w:styleLink w:val="Listaactual10"/>
    <w:lvl w:ilvl="0">
      <w:start w:val="1"/>
      <w:numFmt w:val="decimal"/>
      <w:lvlText w:val="1.1.%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7EAD177A"/>
    <w:multiLevelType w:val="multilevel"/>
    <w:tmpl w:val="B8CCEEC4"/>
    <w:styleLink w:val="Listaactual1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556966890">
    <w:abstractNumId w:val="9"/>
  </w:num>
  <w:num w:numId="2" w16cid:durableId="2123373783">
    <w:abstractNumId w:val="35"/>
  </w:num>
  <w:num w:numId="3" w16cid:durableId="1723020692">
    <w:abstractNumId w:val="12"/>
  </w:num>
  <w:num w:numId="4" w16cid:durableId="432475362">
    <w:abstractNumId w:val="43"/>
  </w:num>
  <w:num w:numId="5" w16cid:durableId="1186941910">
    <w:abstractNumId w:val="1"/>
  </w:num>
  <w:num w:numId="6" w16cid:durableId="1233007917">
    <w:abstractNumId w:val="41"/>
  </w:num>
  <w:num w:numId="7" w16cid:durableId="911502329">
    <w:abstractNumId w:val="14"/>
  </w:num>
  <w:num w:numId="8" w16cid:durableId="297229612">
    <w:abstractNumId w:val="5"/>
  </w:num>
  <w:num w:numId="9" w16cid:durableId="942222682">
    <w:abstractNumId w:val="15"/>
  </w:num>
  <w:num w:numId="10" w16cid:durableId="894509145">
    <w:abstractNumId w:val="22"/>
  </w:num>
  <w:num w:numId="11" w16cid:durableId="265384455">
    <w:abstractNumId w:val="10"/>
  </w:num>
  <w:num w:numId="12" w16cid:durableId="718478701">
    <w:abstractNumId w:val="46"/>
  </w:num>
  <w:num w:numId="13" w16cid:durableId="1382365847">
    <w:abstractNumId w:val="47"/>
  </w:num>
  <w:num w:numId="14" w16cid:durableId="173539873">
    <w:abstractNumId w:val="27"/>
  </w:num>
  <w:num w:numId="15" w16cid:durableId="1496146732">
    <w:abstractNumId w:val="29"/>
  </w:num>
  <w:num w:numId="16" w16cid:durableId="830102878">
    <w:abstractNumId w:val="0"/>
  </w:num>
  <w:num w:numId="17" w16cid:durableId="1577014653">
    <w:abstractNumId w:val="6"/>
  </w:num>
  <w:num w:numId="18" w16cid:durableId="1132746893">
    <w:abstractNumId w:val="17"/>
  </w:num>
  <w:num w:numId="19" w16cid:durableId="916205660">
    <w:abstractNumId w:val="30"/>
  </w:num>
  <w:num w:numId="20" w16cid:durableId="2120561896">
    <w:abstractNumId w:val="25"/>
  </w:num>
  <w:num w:numId="21" w16cid:durableId="921452713">
    <w:abstractNumId w:val="38"/>
  </w:num>
  <w:num w:numId="22" w16cid:durableId="189489123">
    <w:abstractNumId w:val="3"/>
  </w:num>
  <w:num w:numId="23" w16cid:durableId="1981037833">
    <w:abstractNumId w:val="37"/>
  </w:num>
  <w:num w:numId="24" w16cid:durableId="730345403">
    <w:abstractNumId w:val="31"/>
  </w:num>
  <w:num w:numId="25" w16cid:durableId="1498768658">
    <w:abstractNumId w:val="45"/>
  </w:num>
  <w:num w:numId="26" w16cid:durableId="1255164042">
    <w:abstractNumId w:val="44"/>
  </w:num>
  <w:num w:numId="27" w16cid:durableId="1422990293">
    <w:abstractNumId w:val="24"/>
  </w:num>
  <w:num w:numId="28" w16cid:durableId="1101416149">
    <w:abstractNumId w:val="32"/>
  </w:num>
  <w:num w:numId="29" w16cid:durableId="127014404">
    <w:abstractNumId w:val="7"/>
  </w:num>
  <w:num w:numId="30" w16cid:durableId="1783569961">
    <w:abstractNumId w:val="40"/>
  </w:num>
  <w:num w:numId="31" w16cid:durableId="245699652">
    <w:abstractNumId w:val="11"/>
  </w:num>
  <w:num w:numId="32" w16cid:durableId="1613705014">
    <w:abstractNumId w:val="36"/>
  </w:num>
  <w:num w:numId="33" w16cid:durableId="1801071525">
    <w:abstractNumId w:val="20"/>
  </w:num>
  <w:num w:numId="34" w16cid:durableId="610018657">
    <w:abstractNumId w:val="13"/>
  </w:num>
  <w:num w:numId="35" w16cid:durableId="841437084">
    <w:abstractNumId w:val="28"/>
  </w:num>
  <w:num w:numId="36" w16cid:durableId="156115240">
    <w:abstractNumId w:val="23"/>
  </w:num>
  <w:num w:numId="37" w16cid:durableId="1165708703">
    <w:abstractNumId w:val="33"/>
  </w:num>
  <w:num w:numId="38" w16cid:durableId="1592202208">
    <w:abstractNumId w:val="21"/>
  </w:num>
  <w:num w:numId="39" w16cid:durableId="472252911">
    <w:abstractNumId w:val="8"/>
  </w:num>
  <w:num w:numId="40" w16cid:durableId="1713070166">
    <w:abstractNumId w:val="2"/>
  </w:num>
  <w:num w:numId="41" w16cid:durableId="866985488">
    <w:abstractNumId w:val="18"/>
  </w:num>
  <w:num w:numId="42" w16cid:durableId="832991832">
    <w:abstractNumId w:val="16"/>
  </w:num>
  <w:num w:numId="43" w16cid:durableId="613906286">
    <w:abstractNumId w:val="4"/>
  </w:num>
  <w:num w:numId="44" w16cid:durableId="1519657161">
    <w:abstractNumId w:val="26"/>
  </w:num>
  <w:num w:numId="45" w16cid:durableId="900600718">
    <w:abstractNumId w:val="42"/>
  </w:num>
  <w:num w:numId="46" w16cid:durableId="398747981">
    <w:abstractNumId w:val="39"/>
  </w:num>
  <w:num w:numId="47" w16cid:durableId="289559649">
    <w:abstractNumId w:val="19"/>
  </w:num>
  <w:num w:numId="48" w16cid:durableId="1950383460">
    <w:abstractNumId w:val="3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8C9"/>
    <w:rsid w:val="00005D13"/>
    <w:rsid w:val="00021C84"/>
    <w:rsid w:val="00024FFB"/>
    <w:rsid w:val="00030C80"/>
    <w:rsid w:val="00034BD9"/>
    <w:rsid w:val="000409C0"/>
    <w:rsid w:val="00045B94"/>
    <w:rsid w:val="00047A6F"/>
    <w:rsid w:val="00050E1D"/>
    <w:rsid w:val="00056467"/>
    <w:rsid w:val="0006719D"/>
    <w:rsid w:val="0007407C"/>
    <w:rsid w:val="000746D6"/>
    <w:rsid w:val="000A2C0C"/>
    <w:rsid w:val="000B2B2F"/>
    <w:rsid w:val="000B48C9"/>
    <w:rsid w:val="000C26EB"/>
    <w:rsid w:val="000C3E3E"/>
    <w:rsid w:val="000C44CF"/>
    <w:rsid w:val="000D570D"/>
    <w:rsid w:val="000E1A17"/>
    <w:rsid w:val="00122804"/>
    <w:rsid w:val="00130F88"/>
    <w:rsid w:val="001369AC"/>
    <w:rsid w:val="00141395"/>
    <w:rsid w:val="001426FC"/>
    <w:rsid w:val="00143AB9"/>
    <w:rsid w:val="00146B8C"/>
    <w:rsid w:val="001668A0"/>
    <w:rsid w:val="001668DD"/>
    <w:rsid w:val="001738B0"/>
    <w:rsid w:val="00176B7B"/>
    <w:rsid w:val="00177605"/>
    <w:rsid w:val="00177A3E"/>
    <w:rsid w:val="001850B3"/>
    <w:rsid w:val="00186409"/>
    <w:rsid w:val="00196547"/>
    <w:rsid w:val="00197059"/>
    <w:rsid w:val="001A273C"/>
    <w:rsid w:val="001A2D6C"/>
    <w:rsid w:val="001E6A08"/>
    <w:rsid w:val="001E7605"/>
    <w:rsid w:val="00205A1B"/>
    <w:rsid w:val="002072D1"/>
    <w:rsid w:val="00215FEB"/>
    <w:rsid w:val="002561F5"/>
    <w:rsid w:val="002610CA"/>
    <w:rsid w:val="00262E36"/>
    <w:rsid w:val="0027265B"/>
    <w:rsid w:val="00275477"/>
    <w:rsid w:val="002808E7"/>
    <w:rsid w:val="002830B4"/>
    <w:rsid w:val="00295FD9"/>
    <w:rsid w:val="002B3645"/>
    <w:rsid w:val="002B49B9"/>
    <w:rsid w:val="002D570C"/>
    <w:rsid w:val="003003AB"/>
    <w:rsid w:val="00300DED"/>
    <w:rsid w:val="00301F0B"/>
    <w:rsid w:val="00303E52"/>
    <w:rsid w:val="00310EB8"/>
    <w:rsid w:val="00314148"/>
    <w:rsid w:val="00315935"/>
    <w:rsid w:val="003203B2"/>
    <w:rsid w:val="00325120"/>
    <w:rsid w:val="00331B75"/>
    <w:rsid w:val="003328B3"/>
    <w:rsid w:val="00337DDE"/>
    <w:rsid w:val="003402EB"/>
    <w:rsid w:val="00345EC2"/>
    <w:rsid w:val="00381E1F"/>
    <w:rsid w:val="00382F67"/>
    <w:rsid w:val="0039354C"/>
    <w:rsid w:val="003A16AB"/>
    <w:rsid w:val="003A1F72"/>
    <w:rsid w:val="003A49A7"/>
    <w:rsid w:val="003B0DBC"/>
    <w:rsid w:val="003C285B"/>
    <w:rsid w:val="003D361A"/>
    <w:rsid w:val="003D3D5B"/>
    <w:rsid w:val="00412A11"/>
    <w:rsid w:val="00415D98"/>
    <w:rsid w:val="004270D9"/>
    <w:rsid w:val="00427412"/>
    <w:rsid w:val="0043383F"/>
    <w:rsid w:val="004340AE"/>
    <w:rsid w:val="00444FAE"/>
    <w:rsid w:val="004816C1"/>
    <w:rsid w:val="004844F2"/>
    <w:rsid w:val="00494A78"/>
    <w:rsid w:val="004B2876"/>
    <w:rsid w:val="004C3C49"/>
    <w:rsid w:val="004D1A6A"/>
    <w:rsid w:val="004D2DCB"/>
    <w:rsid w:val="004D7CA3"/>
    <w:rsid w:val="004F08DD"/>
    <w:rsid w:val="005041C5"/>
    <w:rsid w:val="00504241"/>
    <w:rsid w:val="00513CB9"/>
    <w:rsid w:val="00522C76"/>
    <w:rsid w:val="0053673C"/>
    <w:rsid w:val="0054723E"/>
    <w:rsid w:val="00551D21"/>
    <w:rsid w:val="005578F5"/>
    <w:rsid w:val="0057104F"/>
    <w:rsid w:val="0057244E"/>
    <w:rsid w:val="00583FA0"/>
    <w:rsid w:val="00591718"/>
    <w:rsid w:val="00591A8C"/>
    <w:rsid w:val="005A1AA2"/>
    <w:rsid w:val="005A5195"/>
    <w:rsid w:val="005A774D"/>
    <w:rsid w:val="005B5F38"/>
    <w:rsid w:val="005B6D90"/>
    <w:rsid w:val="005C1AAC"/>
    <w:rsid w:val="005C282D"/>
    <w:rsid w:val="005C6436"/>
    <w:rsid w:val="005C6A2B"/>
    <w:rsid w:val="005D1019"/>
    <w:rsid w:val="005D59B5"/>
    <w:rsid w:val="005D6169"/>
    <w:rsid w:val="005E4F85"/>
    <w:rsid w:val="005E6F86"/>
    <w:rsid w:val="005F37DB"/>
    <w:rsid w:val="005F3DDA"/>
    <w:rsid w:val="005F5447"/>
    <w:rsid w:val="006067CC"/>
    <w:rsid w:val="006078BE"/>
    <w:rsid w:val="006123ED"/>
    <w:rsid w:val="00622175"/>
    <w:rsid w:val="00632EB6"/>
    <w:rsid w:val="00635775"/>
    <w:rsid w:val="00636749"/>
    <w:rsid w:val="00643CEE"/>
    <w:rsid w:val="00645BD1"/>
    <w:rsid w:val="00654C30"/>
    <w:rsid w:val="00655917"/>
    <w:rsid w:val="00664802"/>
    <w:rsid w:val="0066763C"/>
    <w:rsid w:val="00670D72"/>
    <w:rsid w:val="00670E3F"/>
    <w:rsid w:val="00671301"/>
    <w:rsid w:val="00671F5B"/>
    <w:rsid w:val="0067522B"/>
    <w:rsid w:val="0068038F"/>
    <w:rsid w:val="00697D2A"/>
    <w:rsid w:val="006A7A6B"/>
    <w:rsid w:val="006B1BE2"/>
    <w:rsid w:val="006C29E4"/>
    <w:rsid w:val="006C33C1"/>
    <w:rsid w:val="006C422C"/>
    <w:rsid w:val="006D4603"/>
    <w:rsid w:val="006D49F6"/>
    <w:rsid w:val="006F2999"/>
    <w:rsid w:val="006F32C2"/>
    <w:rsid w:val="006F3FDA"/>
    <w:rsid w:val="0070623D"/>
    <w:rsid w:val="0072027D"/>
    <w:rsid w:val="00721BC7"/>
    <w:rsid w:val="0073332E"/>
    <w:rsid w:val="00743D71"/>
    <w:rsid w:val="00754DEC"/>
    <w:rsid w:val="007627BB"/>
    <w:rsid w:val="007840AD"/>
    <w:rsid w:val="007844D6"/>
    <w:rsid w:val="0079291B"/>
    <w:rsid w:val="0079716D"/>
    <w:rsid w:val="007A090A"/>
    <w:rsid w:val="007A1589"/>
    <w:rsid w:val="007B1C91"/>
    <w:rsid w:val="007B3B9F"/>
    <w:rsid w:val="007C2FA8"/>
    <w:rsid w:val="007C4665"/>
    <w:rsid w:val="007D5663"/>
    <w:rsid w:val="007E0A5E"/>
    <w:rsid w:val="007F25BD"/>
    <w:rsid w:val="007F424E"/>
    <w:rsid w:val="007F6682"/>
    <w:rsid w:val="00800597"/>
    <w:rsid w:val="00800DFE"/>
    <w:rsid w:val="00804615"/>
    <w:rsid w:val="0081093E"/>
    <w:rsid w:val="008110A4"/>
    <w:rsid w:val="0081452A"/>
    <w:rsid w:val="0082157E"/>
    <w:rsid w:val="0082688A"/>
    <w:rsid w:val="00836541"/>
    <w:rsid w:val="00843107"/>
    <w:rsid w:val="008471B5"/>
    <w:rsid w:val="00861494"/>
    <w:rsid w:val="00865512"/>
    <w:rsid w:val="008801B0"/>
    <w:rsid w:val="00886471"/>
    <w:rsid w:val="008B50C8"/>
    <w:rsid w:val="008C16BC"/>
    <w:rsid w:val="008C4595"/>
    <w:rsid w:val="008C6E76"/>
    <w:rsid w:val="008D7D7C"/>
    <w:rsid w:val="008E0D89"/>
    <w:rsid w:val="008F7099"/>
    <w:rsid w:val="009030DF"/>
    <w:rsid w:val="00917886"/>
    <w:rsid w:val="009248A6"/>
    <w:rsid w:val="009360C1"/>
    <w:rsid w:val="00944EDD"/>
    <w:rsid w:val="00945DAD"/>
    <w:rsid w:val="009464FE"/>
    <w:rsid w:val="00953AAE"/>
    <w:rsid w:val="00954A3C"/>
    <w:rsid w:val="00981456"/>
    <w:rsid w:val="00981DEE"/>
    <w:rsid w:val="00982D54"/>
    <w:rsid w:val="00996792"/>
    <w:rsid w:val="009B0932"/>
    <w:rsid w:val="009B0AA8"/>
    <w:rsid w:val="009D4E3C"/>
    <w:rsid w:val="009D51BF"/>
    <w:rsid w:val="009D7E62"/>
    <w:rsid w:val="009E5FB8"/>
    <w:rsid w:val="00A145CF"/>
    <w:rsid w:val="00A23579"/>
    <w:rsid w:val="00A27416"/>
    <w:rsid w:val="00A278CD"/>
    <w:rsid w:val="00A32A89"/>
    <w:rsid w:val="00A33781"/>
    <w:rsid w:val="00A35CAD"/>
    <w:rsid w:val="00A37D24"/>
    <w:rsid w:val="00A60882"/>
    <w:rsid w:val="00A666C4"/>
    <w:rsid w:val="00A700D7"/>
    <w:rsid w:val="00A774F7"/>
    <w:rsid w:val="00A806BB"/>
    <w:rsid w:val="00A92557"/>
    <w:rsid w:val="00A945AB"/>
    <w:rsid w:val="00A974DD"/>
    <w:rsid w:val="00AB6BE4"/>
    <w:rsid w:val="00AB7054"/>
    <w:rsid w:val="00AB7E52"/>
    <w:rsid w:val="00AC1887"/>
    <w:rsid w:val="00B01E42"/>
    <w:rsid w:val="00B07055"/>
    <w:rsid w:val="00B11409"/>
    <w:rsid w:val="00B13C42"/>
    <w:rsid w:val="00B175BA"/>
    <w:rsid w:val="00B27F3A"/>
    <w:rsid w:val="00B30C1E"/>
    <w:rsid w:val="00B35A76"/>
    <w:rsid w:val="00B47094"/>
    <w:rsid w:val="00B509DB"/>
    <w:rsid w:val="00B53467"/>
    <w:rsid w:val="00B62C08"/>
    <w:rsid w:val="00B6324D"/>
    <w:rsid w:val="00B670E7"/>
    <w:rsid w:val="00B71B42"/>
    <w:rsid w:val="00B90ED8"/>
    <w:rsid w:val="00B937A0"/>
    <w:rsid w:val="00BA0BBC"/>
    <w:rsid w:val="00BA568D"/>
    <w:rsid w:val="00BA68E5"/>
    <w:rsid w:val="00BC53C8"/>
    <w:rsid w:val="00BD6037"/>
    <w:rsid w:val="00BE3D0F"/>
    <w:rsid w:val="00BE4394"/>
    <w:rsid w:val="00BF0DEF"/>
    <w:rsid w:val="00BF1934"/>
    <w:rsid w:val="00BF5EE5"/>
    <w:rsid w:val="00C0028A"/>
    <w:rsid w:val="00C01DD1"/>
    <w:rsid w:val="00C02FD2"/>
    <w:rsid w:val="00C04B58"/>
    <w:rsid w:val="00C15316"/>
    <w:rsid w:val="00C212CA"/>
    <w:rsid w:val="00C22473"/>
    <w:rsid w:val="00C25E4B"/>
    <w:rsid w:val="00C5221A"/>
    <w:rsid w:val="00C541A6"/>
    <w:rsid w:val="00C621B0"/>
    <w:rsid w:val="00C71A0C"/>
    <w:rsid w:val="00C71DB0"/>
    <w:rsid w:val="00C73B40"/>
    <w:rsid w:val="00C77E46"/>
    <w:rsid w:val="00C82D19"/>
    <w:rsid w:val="00C82F48"/>
    <w:rsid w:val="00C84454"/>
    <w:rsid w:val="00C84E1D"/>
    <w:rsid w:val="00C8539E"/>
    <w:rsid w:val="00CA3975"/>
    <w:rsid w:val="00CA561D"/>
    <w:rsid w:val="00CA7820"/>
    <w:rsid w:val="00CD096B"/>
    <w:rsid w:val="00CD0B67"/>
    <w:rsid w:val="00CE1D9F"/>
    <w:rsid w:val="00CF13F5"/>
    <w:rsid w:val="00CF4056"/>
    <w:rsid w:val="00D0074D"/>
    <w:rsid w:val="00D0420B"/>
    <w:rsid w:val="00D17870"/>
    <w:rsid w:val="00D20527"/>
    <w:rsid w:val="00D221A4"/>
    <w:rsid w:val="00D23E9B"/>
    <w:rsid w:val="00D24989"/>
    <w:rsid w:val="00D34A04"/>
    <w:rsid w:val="00D41083"/>
    <w:rsid w:val="00D4283E"/>
    <w:rsid w:val="00D4296A"/>
    <w:rsid w:val="00D517D6"/>
    <w:rsid w:val="00D60C2A"/>
    <w:rsid w:val="00DA3E11"/>
    <w:rsid w:val="00DA6C47"/>
    <w:rsid w:val="00DC1284"/>
    <w:rsid w:val="00DC37EC"/>
    <w:rsid w:val="00DE7FF3"/>
    <w:rsid w:val="00DF0B65"/>
    <w:rsid w:val="00DF6AC6"/>
    <w:rsid w:val="00DF77CB"/>
    <w:rsid w:val="00E01445"/>
    <w:rsid w:val="00E1648A"/>
    <w:rsid w:val="00E23281"/>
    <w:rsid w:val="00E25279"/>
    <w:rsid w:val="00E2752C"/>
    <w:rsid w:val="00E352DA"/>
    <w:rsid w:val="00E40FCD"/>
    <w:rsid w:val="00E4782C"/>
    <w:rsid w:val="00E53281"/>
    <w:rsid w:val="00E53430"/>
    <w:rsid w:val="00E544F0"/>
    <w:rsid w:val="00E55088"/>
    <w:rsid w:val="00E6371D"/>
    <w:rsid w:val="00E6593D"/>
    <w:rsid w:val="00E81787"/>
    <w:rsid w:val="00E82A81"/>
    <w:rsid w:val="00E86398"/>
    <w:rsid w:val="00E90FB1"/>
    <w:rsid w:val="00EA7E13"/>
    <w:rsid w:val="00EB70C4"/>
    <w:rsid w:val="00ED23DE"/>
    <w:rsid w:val="00EE3FBA"/>
    <w:rsid w:val="00EE4204"/>
    <w:rsid w:val="00EF3F1C"/>
    <w:rsid w:val="00F00478"/>
    <w:rsid w:val="00F013C0"/>
    <w:rsid w:val="00F0196A"/>
    <w:rsid w:val="00F150C7"/>
    <w:rsid w:val="00F20610"/>
    <w:rsid w:val="00F24D00"/>
    <w:rsid w:val="00F24F84"/>
    <w:rsid w:val="00F26BE2"/>
    <w:rsid w:val="00F35111"/>
    <w:rsid w:val="00F4465B"/>
    <w:rsid w:val="00F47CD8"/>
    <w:rsid w:val="00F519D1"/>
    <w:rsid w:val="00F57BEE"/>
    <w:rsid w:val="00F63085"/>
    <w:rsid w:val="00F657EE"/>
    <w:rsid w:val="00F863D1"/>
    <w:rsid w:val="00F97AA2"/>
    <w:rsid w:val="00FA018C"/>
    <w:rsid w:val="00FA218B"/>
    <w:rsid w:val="00FA57B5"/>
    <w:rsid w:val="00FA7D9D"/>
    <w:rsid w:val="00FD1D81"/>
    <w:rsid w:val="00FD2AE2"/>
    <w:rsid w:val="00FD45B7"/>
    <w:rsid w:val="00FE1949"/>
    <w:rsid w:val="00FE359A"/>
    <w:rsid w:val="00FE6CBE"/>
    <w:rsid w:val="00FF1DDB"/>
    <w:rsid w:val="00FF57DD"/>
    <w:rsid w:val="00FF6542"/>
    <w:rsid w:val="00FF7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9DA352"/>
  <w15:chartTrackingRefBased/>
  <w15:docId w15:val="{D6D87E16-EEB1-4082-9871-A9F5069F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8C9"/>
    <w:pPr>
      <w:spacing w:after="0" w:line="240" w:lineRule="auto"/>
    </w:pPr>
    <w:rPr>
      <w:sz w:val="24"/>
      <w:szCs w:val="24"/>
      <w:lang w:val="es-ES"/>
    </w:rPr>
  </w:style>
  <w:style w:type="paragraph" w:styleId="Heading1">
    <w:name w:val="heading 1"/>
    <w:basedOn w:val="Piesfigura"/>
    <w:next w:val="Normal"/>
    <w:link w:val="Heading1Char"/>
    <w:uiPriority w:val="9"/>
    <w:qFormat/>
    <w:rsid w:val="000B48C9"/>
    <w:pPr>
      <w:keepNext/>
      <w:keepLines/>
      <w:spacing w:before="120" w:after="240"/>
      <w:outlineLvl w:val="0"/>
    </w:pPr>
    <w:rPr>
      <w:rFonts w:eastAsiaTheme="majorEastAsia" w:cstheme="majorBidi"/>
      <w:color w:val="000000" w:themeColor="text1"/>
      <w:szCs w:val="32"/>
    </w:rPr>
  </w:style>
  <w:style w:type="paragraph" w:styleId="Heading2">
    <w:name w:val="heading 2"/>
    <w:basedOn w:val="Normal"/>
    <w:next w:val="Normal"/>
    <w:link w:val="Heading2Char"/>
    <w:uiPriority w:val="9"/>
    <w:unhideWhenUsed/>
    <w:qFormat/>
    <w:rsid w:val="000B48C9"/>
    <w:pPr>
      <w:keepNext/>
      <w:keepLines/>
      <w:spacing w:before="120" w:after="240"/>
      <w:outlineLvl w:val="1"/>
    </w:pPr>
    <w:rPr>
      <w:rFonts w:ascii="Helvetica Neue" w:eastAsiaTheme="majorEastAsia" w:hAnsi="Helvetica Neue" w:cstheme="majorBidi"/>
      <w:color w:val="A53D47"/>
      <w:szCs w:val="26"/>
      <w:u w:val="single"/>
    </w:rPr>
  </w:style>
  <w:style w:type="paragraph" w:styleId="Heading3">
    <w:name w:val="heading 3"/>
    <w:basedOn w:val="Normal"/>
    <w:next w:val="Normal"/>
    <w:link w:val="Heading3Char"/>
    <w:uiPriority w:val="9"/>
    <w:semiHidden/>
    <w:unhideWhenUsed/>
    <w:qFormat/>
    <w:rsid w:val="000B48C9"/>
    <w:pPr>
      <w:keepNext/>
      <w:keepLines/>
      <w:numPr>
        <w:ilvl w:val="2"/>
        <w:numId w:val="28"/>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B48C9"/>
    <w:pPr>
      <w:keepNext/>
      <w:keepLines/>
      <w:numPr>
        <w:ilvl w:val="3"/>
        <w:numId w:val="28"/>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B48C9"/>
    <w:pPr>
      <w:keepNext/>
      <w:keepLines/>
      <w:numPr>
        <w:ilvl w:val="4"/>
        <w:numId w:val="2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B48C9"/>
    <w:pPr>
      <w:keepNext/>
      <w:keepLines/>
      <w:numPr>
        <w:ilvl w:val="5"/>
        <w:numId w:val="2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B48C9"/>
    <w:pPr>
      <w:keepNext/>
      <w:keepLines/>
      <w:numPr>
        <w:ilvl w:val="6"/>
        <w:numId w:val="2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B48C9"/>
    <w:pPr>
      <w:keepNext/>
      <w:keepLines/>
      <w:numPr>
        <w:ilvl w:val="7"/>
        <w:numId w:val="2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B48C9"/>
    <w:pPr>
      <w:keepNext/>
      <w:keepLines/>
      <w:numPr>
        <w:ilvl w:val="8"/>
        <w:numId w:val="2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8C9"/>
    <w:rPr>
      <w:rFonts w:ascii="Garamond" w:eastAsiaTheme="majorEastAsia" w:hAnsi="Garamond" w:cstheme="majorBidi"/>
      <w:color w:val="000000" w:themeColor="text1"/>
      <w:sz w:val="21"/>
      <w:szCs w:val="32"/>
    </w:rPr>
  </w:style>
  <w:style w:type="character" w:customStyle="1" w:styleId="Heading2Char">
    <w:name w:val="Heading 2 Char"/>
    <w:basedOn w:val="DefaultParagraphFont"/>
    <w:link w:val="Heading2"/>
    <w:uiPriority w:val="9"/>
    <w:rsid w:val="000B48C9"/>
    <w:rPr>
      <w:rFonts w:ascii="Helvetica Neue" w:eastAsiaTheme="majorEastAsia" w:hAnsi="Helvetica Neue" w:cstheme="majorBidi"/>
      <w:color w:val="A53D47"/>
      <w:sz w:val="24"/>
      <w:szCs w:val="26"/>
      <w:u w:val="single"/>
      <w:lang w:val="es-ES"/>
    </w:rPr>
  </w:style>
  <w:style w:type="character" w:customStyle="1" w:styleId="Heading3Char">
    <w:name w:val="Heading 3 Char"/>
    <w:basedOn w:val="DefaultParagraphFont"/>
    <w:link w:val="Heading3"/>
    <w:uiPriority w:val="9"/>
    <w:semiHidden/>
    <w:rsid w:val="000B48C9"/>
    <w:rPr>
      <w:rFonts w:asciiTheme="majorHAnsi" w:eastAsiaTheme="majorEastAsia" w:hAnsiTheme="majorHAnsi" w:cstheme="majorBidi"/>
      <w:color w:val="1F3763" w:themeColor="accent1" w:themeShade="7F"/>
      <w:sz w:val="24"/>
      <w:szCs w:val="24"/>
      <w:lang w:val="es-ES"/>
    </w:rPr>
  </w:style>
  <w:style w:type="character" w:customStyle="1" w:styleId="Heading4Char">
    <w:name w:val="Heading 4 Char"/>
    <w:basedOn w:val="DefaultParagraphFont"/>
    <w:link w:val="Heading4"/>
    <w:uiPriority w:val="9"/>
    <w:semiHidden/>
    <w:rsid w:val="000B48C9"/>
    <w:rPr>
      <w:rFonts w:asciiTheme="majorHAnsi" w:eastAsiaTheme="majorEastAsia" w:hAnsiTheme="majorHAnsi" w:cstheme="majorBidi"/>
      <w:i/>
      <w:iCs/>
      <w:color w:val="2F5496" w:themeColor="accent1" w:themeShade="BF"/>
      <w:sz w:val="24"/>
      <w:szCs w:val="24"/>
      <w:lang w:val="es-ES"/>
    </w:rPr>
  </w:style>
  <w:style w:type="character" w:customStyle="1" w:styleId="Heading5Char">
    <w:name w:val="Heading 5 Char"/>
    <w:basedOn w:val="DefaultParagraphFont"/>
    <w:link w:val="Heading5"/>
    <w:uiPriority w:val="9"/>
    <w:semiHidden/>
    <w:rsid w:val="000B48C9"/>
    <w:rPr>
      <w:rFonts w:asciiTheme="majorHAnsi" w:eastAsiaTheme="majorEastAsia" w:hAnsiTheme="majorHAnsi" w:cstheme="majorBidi"/>
      <w:color w:val="2F5496" w:themeColor="accent1" w:themeShade="BF"/>
      <w:sz w:val="24"/>
      <w:szCs w:val="24"/>
      <w:lang w:val="es-ES"/>
    </w:rPr>
  </w:style>
  <w:style w:type="character" w:customStyle="1" w:styleId="Heading6Char">
    <w:name w:val="Heading 6 Char"/>
    <w:basedOn w:val="DefaultParagraphFont"/>
    <w:link w:val="Heading6"/>
    <w:uiPriority w:val="9"/>
    <w:semiHidden/>
    <w:rsid w:val="000B48C9"/>
    <w:rPr>
      <w:rFonts w:asciiTheme="majorHAnsi" w:eastAsiaTheme="majorEastAsia" w:hAnsiTheme="majorHAnsi" w:cstheme="majorBidi"/>
      <w:color w:val="1F3763" w:themeColor="accent1" w:themeShade="7F"/>
      <w:sz w:val="24"/>
      <w:szCs w:val="24"/>
      <w:lang w:val="es-ES"/>
    </w:rPr>
  </w:style>
  <w:style w:type="character" w:customStyle="1" w:styleId="Heading7Char">
    <w:name w:val="Heading 7 Char"/>
    <w:basedOn w:val="DefaultParagraphFont"/>
    <w:link w:val="Heading7"/>
    <w:uiPriority w:val="9"/>
    <w:semiHidden/>
    <w:rsid w:val="000B48C9"/>
    <w:rPr>
      <w:rFonts w:asciiTheme="majorHAnsi" w:eastAsiaTheme="majorEastAsia" w:hAnsiTheme="majorHAnsi" w:cstheme="majorBidi"/>
      <w:i/>
      <w:iCs/>
      <w:color w:val="1F3763" w:themeColor="accent1" w:themeShade="7F"/>
      <w:sz w:val="24"/>
      <w:szCs w:val="24"/>
      <w:lang w:val="es-ES"/>
    </w:rPr>
  </w:style>
  <w:style w:type="character" w:customStyle="1" w:styleId="Heading8Char">
    <w:name w:val="Heading 8 Char"/>
    <w:basedOn w:val="DefaultParagraphFont"/>
    <w:link w:val="Heading8"/>
    <w:uiPriority w:val="9"/>
    <w:semiHidden/>
    <w:rsid w:val="000B48C9"/>
    <w:rPr>
      <w:rFonts w:asciiTheme="majorHAnsi" w:eastAsiaTheme="majorEastAsia" w:hAnsiTheme="majorHAnsi" w:cstheme="majorBidi"/>
      <w:color w:val="272727" w:themeColor="text1" w:themeTint="D8"/>
      <w:sz w:val="21"/>
      <w:szCs w:val="21"/>
      <w:lang w:val="es-ES"/>
    </w:rPr>
  </w:style>
  <w:style w:type="character" w:customStyle="1" w:styleId="Heading9Char">
    <w:name w:val="Heading 9 Char"/>
    <w:basedOn w:val="DefaultParagraphFont"/>
    <w:link w:val="Heading9"/>
    <w:uiPriority w:val="9"/>
    <w:semiHidden/>
    <w:rsid w:val="000B48C9"/>
    <w:rPr>
      <w:rFonts w:asciiTheme="majorHAnsi" w:eastAsiaTheme="majorEastAsia" w:hAnsiTheme="majorHAnsi" w:cstheme="majorBidi"/>
      <w:i/>
      <w:iCs/>
      <w:color w:val="272727" w:themeColor="text1" w:themeTint="D8"/>
      <w:sz w:val="21"/>
      <w:szCs w:val="21"/>
      <w:lang w:val="es-ES"/>
    </w:rPr>
  </w:style>
  <w:style w:type="paragraph" w:styleId="ListParagraph">
    <w:name w:val="List Paragraph"/>
    <w:basedOn w:val="Normal"/>
    <w:uiPriority w:val="34"/>
    <w:qFormat/>
    <w:rsid w:val="000B48C9"/>
    <w:pPr>
      <w:ind w:left="720"/>
      <w:contextualSpacing/>
    </w:pPr>
  </w:style>
  <w:style w:type="paragraph" w:styleId="NormalWeb">
    <w:name w:val="Normal (Web)"/>
    <w:basedOn w:val="Normal"/>
    <w:uiPriority w:val="99"/>
    <w:unhideWhenUsed/>
    <w:rsid w:val="000B48C9"/>
    <w:rPr>
      <w:rFonts w:ascii="Times New Roman" w:hAnsi="Times New Roman" w:cs="Times New Roman"/>
    </w:rPr>
  </w:style>
  <w:style w:type="table" w:styleId="TableGrid">
    <w:name w:val="Table Grid"/>
    <w:basedOn w:val="TableNormal"/>
    <w:uiPriority w:val="39"/>
    <w:rsid w:val="000B48C9"/>
    <w:pPr>
      <w:spacing w:after="0" w:line="240" w:lineRule="auto"/>
    </w:pPr>
    <w:rPr>
      <w:sz w:val="24"/>
      <w:szCs w:val="24"/>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is">
    <w:name w:val="Tesis"/>
    <w:basedOn w:val="ListParagraph"/>
    <w:qFormat/>
    <w:rsid w:val="000B48C9"/>
    <w:pPr>
      <w:numPr>
        <w:numId w:val="1"/>
      </w:numPr>
      <w:spacing w:before="240" w:after="240"/>
      <w:contextualSpacing w:val="0"/>
    </w:pPr>
    <w:rPr>
      <w:rFonts w:ascii="Helvetica Neue" w:hAnsi="Helvetica Neue"/>
    </w:rPr>
  </w:style>
  <w:style w:type="character" w:customStyle="1" w:styleId="Ttulo3TesisCar">
    <w:name w:val="Título 3 Tesis Car"/>
    <w:basedOn w:val="Ttulo2TesisCar"/>
    <w:link w:val="Ttulo3Tesis"/>
    <w:rsid w:val="00FF720A"/>
    <w:rPr>
      <w:rFonts w:ascii="Garamond" w:eastAsiaTheme="majorEastAsia" w:hAnsi="Garamond" w:cstheme="majorBidi"/>
      <w:b w:val="0"/>
      <w:bCs/>
      <w:color w:val="000000" w:themeColor="text1"/>
      <w:sz w:val="24"/>
      <w:szCs w:val="24"/>
      <w:lang w:val="en-US"/>
    </w:rPr>
  </w:style>
  <w:style w:type="character" w:styleId="IntenseReference">
    <w:name w:val="Intense Reference"/>
    <w:basedOn w:val="DefaultParagraphFont"/>
    <w:uiPriority w:val="32"/>
    <w:qFormat/>
    <w:rsid w:val="000B48C9"/>
    <w:rPr>
      <w:b/>
      <w:bCs/>
      <w:smallCaps/>
      <w:color w:val="4472C4" w:themeColor="accent1"/>
      <w:spacing w:val="5"/>
    </w:rPr>
  </w:style>
  <w:style w:type="table" w:styleId="ListTable3">
    <w:name w:val="List Table 3"/>
    <w:basedOn w:val="TableNormal"/>
    <w:uiPriority w:val="48"/>
    <w:rsid w:val="000B48C9"/>
    <w:pPr>
      <w:spacing w:after="0" w:line="240" w:lineRule="auto"/>
    </w:pPr>
    <w:rPr>
      <w:sz w:val="24"/>
      <w:szCs w:val="24"/>
      <w:lang w:val="es-E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tulo1Tesis">
    <w:name w:val="Título 1 Tesis"/>
    <w:basedOn w:val="Heading1"/>
    <w:next w:val="Ttulo2Tesis"/>
    <w:link w:val="Ttulo1TesisCar"/>
    <w:autoRedefine/>
    <w:qFormat/>
    <w:rsid w:val="000B48C9"/>
    <w:pPr>
      <w:spacing w:line="360" w:lineRule="auto"/>
    </w:pPr>
    <w:rPr>
      <w:rFonts w:ascii="Helvetica Neue Medium Extended" w:hAnsi="Helvetica Neue Medium Extended"/>
      <w:b/>
      <w:bCs/>
      <w:sz w:val="28"/>
      <w:szCs w:val="28"/>
      <w:lang w:val="en-US"/>
    </w:rPr>
  </w:style>
  <w:style w:type="paragraph" w:customStyle="1" w:styleId="Ttulo2Tesis">
    <w:name w:val="Título 2 Tesis"/>
    <w:basedOn w:val="Ttulo1Tesis"/>
    <w:next w:val="Ttulo3Tesis"/>
    <w:link w:val="Ttulo2TesisCar"/>
    <w:autoRedefine/>
    <w:qFormat/>
    <w:rsid w:val="000B48C9"/>
    <w:pPr>
      <w:numPr>
        <w:ilvl w:val="1"/>
        <w:numId w:val="47"/>
      </w:numPr>
      <w:tabs>
        <w:tab w:val="num" w:pos="360"/>
      </w:tabs>
      <w:spacing w:after="120"/>
      <w:ind w:left="0" w:firstLine="0"/>
      <w:outlineLvl w:val="1"/>
    </w:pPr>
    <w:rPr>
      <w:rFonts w:ascii="Helvetica Neue" w:hAnsi="Helvetica Neue"/>
      <w:b w:val="0"/>
    </w:rPr>
  </w:style>
  <w:style w:type="character" w:customStyle="1" w:styleId="Ttulo1TesisCar">
    <w:name w:val="Título 1 Tesis Car"/>
    <w:basedOn w:val="Heading1Char"/>
    <w:link w:val="Ttulo1Tesis"/>
    <w:rsid w:val="000B48C9"/>
    <w:rPr>
      <w:rFonts w:ascii="Helvetica Neue Medium Extended" w:eastAsiaTheme="majorEastAsia" w:hAnsi="Helvetica Neue Medium Extended" w:cstheme="majorBidi"/>
      <w:b/>
      <w:bCs/>
      <w:color w:val="000000" w:themeColor="text1"/>
      <w:sz w:val="28"/>
      <w:szCs w:val="28"/>
      <w:lang w:val="en-US"/>
    </w:rPr>
  </w:style>
  <w:style w:type="numbering" w:customStyle="1" w:styleId="Listaactual3">
    <w:name w:val="Lista actual3"/>
    <w:uiPriority w:val="99"/>
    <w:rsid w:val="000B48C9"/>
    <w:pPr>
      <w:numPr>
        <w:numId w:val="4"/>
      </w:numPr>
    </w:pPr>
  </w:style>
  <w:style w:type="numbering" w:customStyle="1" w:styleId="Listaactual1">
    <w:name w:val="Lista actual1"/>
    <w:uiPriority w:val="99"/>
    <w:rsid w:val="000B48C9"/>
    <w:pPr>
      <w:numPr>
        <w:numId w:val="2"/>
      </w:numPr>
    </w:pPr>
  </w:style>
  <w:style w:type="numbering" w:customStyle="1" w:styleId="Listaactual2">
    <w:name w:val="Lista actual2"/>
    <w:uiPriority w:val="99"/>
    <w:rsid w:val="000B48C9"/>
    <w:pPr>
      <w:numPr>
        <w:numId w:val="3"/>
      </w:numPr>
    </w:pPr>
  </w:style>
  <w:style w:type="numbering" w:styleId="111111">
    <w:name w:val="Outline List 2"/>
    <w:basedOn w:val="NoList"/>
    <w:uiPriority w:val="99"/>
    <w:semiHidden/>
    <w:unhideWhenUsed/>
    <w:rsid w:val="000B48C9"/>
    <w:pPr>
      <w:numPr>
        <w:numId w:val="48"/>
      </w:numPr>
    </w:pPr>
  </w:style>
  <w:style w:type="character" w:customStyle="1" w:styleId="Ttulo2TesisCar">
    <w:name w:val="Título 2 Tesis Car"/>
    <w:basedOn w:val="Ttulo1TesisCar"/>
    <w:link w:val="Ttulo2Tesis"/>
    <w:rsid w:val="000B48C9"/>
    <w:rPr>
      <w:rFonts w:ascii="Helvetica Neue" w:eastAsiaTheme="majorEastAsia" w:hAnsi="Helvetica Neue" w:cstheme="majorBidi"/>
      <w:b w:val="0"/>
      <w:bCs/>
      <w:color w:val="000000" w:themeColor="text1"/>
      <w:sz w:val="28"/>
      <w:szCs w:val="28"/>
      <w:lang w:val="en-US"/>
    </w:rPr>
  </w:style>
  <w:style w:type="paragraph" w:customStyle="1" w:styleId="Ttulo3Tesis">
    <w:name w:val="Título 3 Tesis"/>
    <w:basedOn w:val="Ttulo2Tesis"/>
    <w:next w:val="TextoTesis"/>
    <w:link w:val="Ttulo3TesisCar"/>
    <w:autoRedefine/>
    <w:qFormat/>
    <w:rsid w:val="00FF720A"/>
    <w:pPr>
      <w:numPr>
        <w:ilvl w:val="0"/>
        <w:numId w:val="0"/>
      </w:numPr>
      <w:spacing w:after="160" w:line="276" w:lineRule="auto"/>
      <w:outlineLvl w:val="2"/>
    </w:pPr>
    <w:rPr>
      <w:rFonts w:ascii="Garamond" w:hAnsi="Garamond"/>
      <w:sz w:val="24"/>
      <w:szCs w:val="24"/>
    </w:rPr>
  </w:style>
  <w:style w:type="numbering" w:customStyle="1" w:styleId="Listaactual4">
    <w:name w:val="Lista actual4"/>
    <w:uiPriority w:val="99"/>
    <w:rsid w:val="000B48C9"/>
    <w:pPr>
      <w:numPr>
        <w:numId w:val="5"/>
      </w:numPr>
    </w:pPr>
  </w:style>
  <w:style w:type="paragraph" w:customStyle="1" w:styleId="TextoTesis">
    <w:name w:val="Texto Tesis"/>
    <w:basedOn w:val="Normal"/>
    <w:link w:val="TextoTesisCar"/>
    <w:autoRedefine/>
    <w:qFormat/>
    <w:rsid w:val="00804615"/>
    <w:pPr>
      <w:spacing w:before="160" w:after="160" w:line="276" w:lineRule="auto"/>
      <w:jc w:val="both"/>
    </w:pPr>
    <w:rPr>
      <w:rFonts w:ascii="Garamond" w:hAnsi="Garamond"/>
      <w:szCs w:val="22"/>
      <w:lang w:val="en-GB"/>
    </w:rPr>
  </w:style>
  <w:style w:type="numbering" w:customStyle="1" w:styleId="Listaactual5">
    <w:name w:val="Lista actual5"/>
    <w:uiPriority w:val="99"/>
    <w:rsid w:val="000B48C9"/>
    <w:pPr>
      <w:numPr>
        <w:numId w:val="6"/>
      </w:numPr>
    </w:pPr>
  </w:style>
  <w:style w:type="numbering" w:customStyle="1" w:styleId="Listaactual6">
    <w:name w:val="Lista actual6"/>
    <w:uiPriority w:val="99"/>
    <w:rsid w:val="000B48C9"/>
    <w:pPr>
      <w:numPr>
        <w:numId w:val="7"/>
      </w:numPr>
    </w:pPr>
  </w:style>
  <w:style w:type="numbering" w:styleId="1ai">
    <w:name w:val="Outline List 1"/>
    <w:basedOn w:val="NoList"/>
    <w:uiPriority w:val="99"/>
    <w:semiHidden/>
    <w:unhideWhenUsed/>
    <w:rsid w:val="000B48C9"/>
    <w:pPr>
      <w:numPr>
        <w:numId w:val="8"/>
      </w:numPr>
    </w:pPr>
  </w:style>
  <w:style w:type="numbering" w:customStyle="1" w:styleId="Listaactual7">
    <w:name w:val="Lista actual7"/>
    <w:uiPriority w:val="99"/>
    <w:rsid w:val="000B48C9"/>
    <w:pPr>
      <w:numPr>
        <w:numId w:val="9"/>
      </w:numPr>
    </w:pPr>
  </w:style>
  <w:style w:type="numbering" w:customStyle="1" w:styleId="Listaactual8">
    <w:name w:val="Lista actual8"/>
    <w:uiPriority w:val="99"/>
    <w:rsid w:val="000B48C9"/>
    <w:pPr>
      <w:numPr>
        <w:numId w:val="10"/>
      </w:numPr>
    </w:pPr>
  </w:style>
  <w:style w:type="numbering" w:customStyle="1" w:styleId="Listaactual9">
    <w:name w:val="Lista actual9"/>
    <w:uiPriority w:val="99"/>
    <w:rsid w:val="000B48C9"/>
    <w:pPr>
      <w:numPr>
        <w:numId w:val="11"/>
      </w:numPr>
    </w:pPr>
  </w:style>
  <w:style w:type="numbering" w:customStyle="1" w:styleId="Listaactual10">
    <w:name w:val="Lista actual10"/>
    <w:uiPriority w:val="99"/>
    <w:rsid w:val="000B48C9"/>
    <w:pPr>
      <w:numPr>
        <w:numId w:val="12"/>
      </w:numPr>
    </w:pPr>
  </w:style>
  <w:style w:type="numbering" w:customStyle="1" w:styleId="Listaactual11">
    <w:name w:val="Lista actual11"/>
    <w:uiPriority w:val="99"/>
    <w:rsid w:val="000B48C9"/>
    <w:pPr>
      <w:numPr>
        <w:numId w:val="13"/>
      </w:numPr>
    </w:pPr>
  </w:style>
  <w:style w:type="numbering" w:customStyle="1" w:styleId="Listaactual12">
    <w:name w:val="Lista actual12"/>
    <w:uiPriority w:val="99"/>
    <w:rsid w:val="000B48C9"/>
    <w:pPr>
      <w:numPr>
        <w:numId w:val="14"/>
      </w:numPr>
    </w:pPr>
  </w:style>
  <w:style w:type="numbering" w:customStyle="1" w:styleId="Listaactual13">
    <w:name w:val="Lista actual13"/>
    <w:uiPriority w:val="99"/>
    <w:rsid w:val="000B48C9"/>
    <w:pPr>
      <w:numPr>
        <w:numId w:val="15"/>
      </w:numPr>
    </w:pPr>
  </w:style>
  <w:style w:type="numbering" w:customStyle="1" w:styleId="Listaactual14">
    <w:name w:val="Lista actual14"/>
    <w:uiPriority w:val="99"/>
    <w:rsid w:val="000B48C9"/>
    <w:pPr>
      <w:numPr>
        <w:numId w:val="16"/>
      </w:numPr>
    </w:pPr>
  </w:style>
  <w:style w:type="numbering" w:customStyle="1" w:styleId="Listaactual15">
    <w:name w:val="Lista actual15"/>
    <w:uiPriority w:val="99"/>
    <w:rsid w:val="000B48C9"/>
    <w:pPr>
      <w:numPr>
        <w:numId w:val="17"/>
      </w:numPr>
    </w:pPr>
  </w:style>
  <w:style w:type="numbering" w:customStyle="1" w:styleId="Listaactual16">
    <w:name w:val="Lista actual16"/>
    <w:uiPriority w:val="99"/>
    <w:rsid w:val="000B48C9"/>
    <w:pPr>
      <w:numPr>
        <w:numId w:val="18"/>
      </w:numPr>
    </w:pPr>
  </w:style>
  <w:style w:type="numbering" w:customStyle="1" w:styleId="Listaactual17">
    <w:name w:val="Lista actual17"/>
    <w:uiPriority w:val="99"/>
    <w:rsid w:val="000B48C9"/>
    <w:pPr>
      <w:numPr>
        <w:numId w:val="19"/>
      </w:numPr>
    </w:pPr>
  </w:style>
  <w:style w:type="numbering" w:customStyle="1" w:styleId="Listaactual18">
    <w:name w:val="Lista actual18"/>
    <w:uiPriority w:val="99"/>
    <w:rsid w:val="000B48C9"/>
    <w:pPr>
      <w:numPr>
        <w:numId w:val="20"/>
      </w:numPr>
    </w:pPr>
  </w:style>
  <w:style w:type="numbering" w:customStyle="1" w:styleId="Listaactual19">
    <w:name w:val="Lista actual19"/>
    <w:uiPriority w:val="99"/>
    <w:rsid w:val="000B48C9"/>
    <w:pPr>
      <w:numPr>
        <w:numId w:val="21"/>
      </w:numPr>
    </w:pPr>
  </w:style>
  <w:style w:type="numbering" w:customStyle="1" w:styleId="Listaactual20">
    <w:name w:val="Lista actual20"/>
    <w:uiPriority w:val="99"/>
    <w:rsid w:val="000B48C9"/>
    <w:pPr>
      <w:numPr>
        <w:numId w:val="22"/>
      </w:numPr>
    </w:pPr>
  </w:style>
  <w:style w:type="numbering" w:customStyle="1" w:styleId="Listaactual21">
    <w:name w:val="Lista actual21"/>
    <w:uiPriority w:val="99"/>
    <w:rsid w:val="000B48C9"/>
    <w:pPr>
      <w:numPr>
        <w:numId w:val="23"/>
      </w:numPr>
    </w:pPr>
  </w:style>
  <w:style w:type="numbering" w:customStyle="1" w:styleId="Listaactual22">
    <w:name w:val="Lista actual22"/>
    <w:uiPriority w:val="99"/>
    <w:rsid w:val="000B48C9"/>
    <w:pPr>
      <w:numPr>
        <w:numId w:val="24"/>
      </w:numPr>
    </w:pPr>
  </w:style>
  <w:style w:type="character" w:customStyle="1" w:styleId="epub-sectionitem">
    <w:name w:val="epub-section__item"/>
    <w:basedOn w:val="DefaultParagraphFont"/>
    <w:rsid w:val="000B48C9"/>
  </w:style>
  <w:style w:type="character" w:styleId="Hyperlink">
    <w:name w:val="Hyperlink"/>
    <w:basedOn w:val="DefaultParagraphFont"/>
    <w:uiPriority w:val="99"/>
    <w:unhideWhenUsed/>
    <w:rsid w:val="000B48C9"/>
    <w:rPr>
      <w:color w:val="0000FF"/>
      <w:u w:val="single"/>
    </w:rPr>
  </w:style>
  <w:style w:type="character" w:customStyle="1" w:styleId="citation-doi">
    <w:name w:val="citation-doi"/>
    <w:basedOn w:val="DefaultParagraphFont"/>
    <w:rsid w:val="000B48C9"/>
  </w:style>
  <w:style w:type="character" w:customStyle="1" w:styleId="markedcontent">
    <w:name w:val="markedcontent"/>
    <w:basedOn w:val="DefaultParagraphFont"/>
    <w:rsid w:val="000B48C9"/>
  </w:style>
  <w:style w:type="character" w:styleId="CommentReference">
    <w:name w:val="annotation reference"/>
    <w:basedOn w:val="DefaultParagraphFont"/>
    <w:uiPriority w:val="99"/>
    <w:semiHidden/>
    <w:unhideWhenUsed/>
    <w:rsid w:val="000B48C9"/>
    <w:rPr>
      <w:sz w:val="16"/>
      <w:szCs w:val="16"/>
    </w:rPr>
  </w:style>
  <w:style w:type="paragraph" w:styleId="CommentText">
    <w:name w:val="annotation text"/>
    <w:basedOn w:val="Normal"/>
    <w:link w:val="CommentTextChar"/>
    <w:uiPriority w:val="99"/>
    <w:unhideWhenUsed/>
    <w:rsid w:val="000B48C9"/>
    <w:rPr>
      <w:sz w:val="20"/>
      <w:szCs w:val="20"/>
    </w:rPr>
  </w:style>
  <w:style w:type="character" w:customStyle="1" w:styleId="CommentTextChar">
    <w:name w:val="Comment Text Char"/>
    <w:basedOn w:val="DefaultParagraphFont"/>
    <w:link w:val="CommentText"/>
    <w:uiPriority w:val="99"/>
    <w:semiHidden/>
    <w:rsid w:val="000B48C9"/>
    <w:rPr>
      <w:sz w:val="20"/>
      <w:szCs w:val="20"/>
      <w:lang w:val="es-ES"/>
    </w:rPr>
  </w:style>
  <w:style w:type="paragraph" w:styleId="CommentSubject">
    <w:name w:val="annotation subject"/>
    <w:basedOn w:val="CommentText"/>
    <w:next w:val="CommentText"/>
    <w:link w:val="CommentSubjectChar"/>
    <w:uiPriority w:val="99"/>
    <w:semiHidden/>
    <w:unhideWhenUsed/>
    <w:rsid w:val="000B48C9"/>
    <w:rPr>
      <w:b/>
      <w:bCs/>
    </w:rPr>
  </w:style>
  <w:style w:type="character" w:customStyle="1" w:styleId="CommentSubjectChar">
    <w:name w:val="Comment Subject Char"/>
    <w:basedOn w:val="CommentTextChar"/>
    <w:link w:val="CommentSubject"/>
    <w:uiPriority w:val="99"/>
    <w:semiHidden/>
    <w:rsid w:val="000B48C9"/>
    <w:rPr>
      <w:b/>
      <w:bCs/>
      <w:sz w:val="20"/>
      <w:szCs w:val="20"/>
      <w:lang w:val="es-ES"/>
    </w:rPr>
  </w:style>
  <w:style w:type="paragraph" w:styleId="BalloonText">
    <w:name w:val="Balloon Text"/>
    <w:basedOn w:val="Normal"/>
    <w:link w:val="BalloonTextChar"/>
    <w:uiPriority w:val="99"/>
    <w:semiHidden/>
    <w:unhideWhenUsed/>
    <w:rsid w:val="000B48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48C9"/>
    <w:rPr>
      <w:rFonts w:ascii="Segoe UI" w:hAnsi="Segoe UI" w:cs="Segoe UI"/>
      <w:sz w:val="18"/>
      <w:szCs w:val="18"/>
      <w:lang w:val="es-ES"/>
    </w:rPr>
  </w:style>
  <w:style w:type="table" w:styleId="ListTable3-Accent1">
    <w:name w:val="List Table 3 Accent 1"/>
    <w:basedOn w:val="TableNormal"/>
    <w:uiPriority w:val="48"/>
    <w:rsid w:val="000B48C9"/>
    <w:pPr>
      <w:spacing w:after="0" w:line="240" w:lineRule="auto"/>
    </w:pPr>
    <w:rPr>
      <w:sz w:val="24"/>
      <w:szCs w:val="24"/>
      <w:lang w:val="es-E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Bibliography">
    <w:name w:val="Bibliography"/>
    <w:basedOn w:val="Normal"/>
    <w:next w:val="Normal"/>
    <w:uiPriority w:val="37"/>
    <w:unhideWhenUsed/>
    <w:rsid w:val="000B48C9"/>
    <w:pPr>
      <w:tabs>
        <w:tab w:val="left" w:pos="384"/>
      </w:tabs>
      <w:spacing w:line="480" w:lineRule="auto"/>
      <w:ind w:left="384" w:hanging="384"/>
    </w:pPr>
  </w:style>
  <w:style w:type="character" w:styleId="FollowedHyperlink">
    <w:name w:val="FollowedHyperlink"/>
    <w:basedOn w:val="DefaultParagraphFont"/>
    <w:uiPriority w:val="99"/>
    <w:semiHidden/>
    <w:unhideWhenUsed/>
    <w:rsid w:val="000B48C9"/>
    <w:rPr>
      <w:color w:val="954F72" w:themeColor="followedHyperlink"/>
      <w:u w:val="single"/>
    </w:rPr>
  </w:style>
  <w:style w:type="character" w:styleId="PlaceholderText">
    <w:name w:val="Placeholder Text"/>
    <w:basedOn w:val="DefaultParagraphFont"/>
    <w:uiPriority w:val="99"/>
    <w:semiHidden/>
    <w:rsid w:val="000B48C9"/>
    <w:rPr>
      <w:color w:val="808080"/>
    </w:rPr>
  </w:style>
  <w:style w:type="paragraph" w:styleId="Header">
    <w:name w:val="header"/>
    <w:basedOn w:val="Normal"/>
    <w:link w:val="HeaderChar"/>
    <w:uiPriority w:val="99"/>
    <w:unhideWhenUsed/>
    <w:rsid w:val="000B48C9"/>
    <w:pPr>
      <w:tabs>
        <w:tab w:val="center" w:pos="4252"/>
        <w:tab w:val="right" w:pos="8504"/>
      </w:tabs>
    </w:pPr>
  </w:style>
  <w:style w:type="character" w:customStyle="1" w:styleId="HeaderChar">
    <w:name w:val="Header Char"/>
    <w:basedOn w:val="DefaultParagraphFont"/>
    <w:link w:val="Header"/>
    <w:uiPriority w:val="99"/>
    <w:rsid w:val="000B48C9"/>
    <w:rPr>
      <w:sz w:val="24"/>
      <w:szCs w:val="24"/>
      <w:lang w:val="es-ES"/>
    </w:rPr>
  </w:style>
  <w:style w:type="paragraph" w:styleId="Footer">
    <w:name w:val="footer"/>
    <w:basedOn w:val="Normal"/>
    <w:link w:val="FooterChar"/>
    <w:unhideWhenUsed/>
    <w:rsid w:val="000B48C9"/>
    <w:pPr>
      <w:tabs>
        <w:tab w:val="center" w:pos="4252"/>
        <w:tab w:val="right" w:pos="8504"/>
      </w:tabs>
    </w:pPr>
  </w:style>
  <w:style w:type="character" w:customStyle="1" w:styleId="FooterChar">
    <w:name w:val="Footer Char"/>
    <w:basedOn w:val="DefaultParagraphFont"/>
    <w:link w:val="Footer"/>
    <w:rsid w:val="000B48C9"/>
    <w:rPr>
      <w:sz w:val="24"/>
      <w:szCs w:val="24"/>
      <w:lang w:val="es-ES"/>
    </w:rPr>
  </w:style>
  <w:style w:type="paragraph" w:styleId="Revision">
    <w:name w:val="Revision"/>
    <w:hidden/>
    <w:uiPriority w:val="99"/>
    <w:semiHidden/>
    <w:rsid w:val="000B48C9"/>
    <w:pPr>
      <w:spacing w:after="0" w:line="240" w:lineRule="auto"/>
    </w:pPr>
    <w:rPr>
      <w:sz w:val="24"/>
      <w:szCs w:val="24"/>
      <w:lang w:val="es-ES"/>
    </w:rPr>
  </w:style>
  <w:style w:type="character" w:styleId="Emphasis">
    <w:name w:val="Emphasis"/>
    <w:basedOn w:val="DefaultParagraphFont"/>
    <w:uiPriority w:val="20"/>
    <w:qFormat/>
    <w:rsid w:val="000B48C9"/>
    <w:rPr>
      <w:i/>
      <w:iCs/>
    </w:rPr>
  </w:style>
  <w:style w:type="character" w:styleId="PageNumber">
    <w:name w:val="page number"/>
    <w:basedOn w:val="DefaultParagraphFont"/>
    <w:uiPriority w:val="99"/>
    <w:semiHidden/>
    <w:unhideWhenUsed/>
    <w:rsid w:val="000B48C9"/>
  </w:style>
  <w:style w:type="character" w:customStyle="1" w:styleId="citation-part">
    <w:name w:val="citation-part"/>
    <w:basedOn w:val="DefaultParagraphFont"/>
    <w:rsid w:val="000B48C9"/>
  </w:style>
  <w:style w:type="character" w:customStyle="1" w:styleId="docsum-pmid">
    <w:name w:val="docsum-pmid"/>
    <w:basedOn w:val="DefaultParagraphFont"/>
    <w:rsid w:val="000B48C9"/>
  </w:style>
  <w:style w:type="character" w:customStyle="1" w:styleId="id-label">
    <w:name w:val="id-label"/>
    <w:basedOn w:val="DefaultParagraphFont"/>
    <w:rsid w:val="000B48C9"/>
  </w:style>
  <w:style w:type="character" w:styleId="Strong">
    <w:name w:val="Strong"/>
    <w:basedOn w:val="DefaultParagraphFont"/>
    <w:uiPriority w:val="22"/>
    <w:qFormat/>
    <w:rsid w:val="000B48C9"/>
    <w:rPr>
      <w:b/>
      <w:bCs/>
    </w:rPr>
  </w:style>
  <w:style w:type="paragraph" w:customStyle="1" w:styleId="Textotesispuntos">
    <w:name w:val="Texto tesis puntos"/>
    <w:basedOn w:val="TextoTesis"/>
    <w:qFormat/>
    <w:rsid w:val="000B48C9"/>
    <w:pPr>
      <w:numPr>
        <w:numId w:val="27"/>
      </w:numPr>
      <w:ind w:left="357" w:firstLine="0"/>
    </w:pPr>
    <w:rPr>
      <w:bCs/>
      <w:lang w:val="en-US"/>
    </w:rPr>
  </w:style>
  <w:style w:type="paragraph" w:customStyle="1" w:styleId="Pierfigura">
    <w:name w:val="Pier figura"/>
    <w:basedOn w:val="TextoTesis"/>
    <w:qFormat/>
    <w:rsid w:val="000B48C9"/>
    <w:pPr>
      <w:spacing w:before="240" w:after="240" w:line="240" w:lineRule="auto"/>
    </w:pPr>
    <w:rPr>
      <w:sz w:val="21"/>
    </w:rPr>
  </w:style>
  <w:style w:type="numbering" w:customStyle="1" w:styleId="Listaactual23">
    <w:name w:val="Lista actual23"/>
    <w:uiPriority w:val="99"/>
    <w:rsid w:val="000B48C9"/>
    <w:pPr>
      <w:numPr>
        <w:numId w:val="29"/>
      </w:numPr>
    </w:pPr>
  </w:style>
  <w:style w:type="numbering" w:customStyle="1" w:styleId="Listaactual24">
    <w:name w:val="Lista actual24"/>
    <w:uiPriority w:val="99"/>
    <w:rsid w:val="000B48C9"/>
    <w:pPr>
      <w:numPr>
        <w:numId w:val="30"/>
      </w:numPr>
    </w:pPr>
  </w:style>
  <w:style w:type="numbering" w:customStyle="1" w:styleId="Listaactual25">
    <w:name w:val="Lista actual25"/>
    <w:uiPriority w:val="99"/>
    <w:rsid w:val="000B48C9"/>
    <w:pPr>
      <w:numPr>
        <w:numId w:val="31"/>
      </w:numPr>
    </w:pPr>
  </w:style>
  <w:style w:type="numbering" w:customStyle="1" w:styleId="Listaactual26">
    <w:name w:val="Lista actual26"/>
    <w:uiPriority w:val="99"/>
    <w:rsid w:val="000B48C9"/>
    <w:pPr>
      <w:numPr>
        <w:numId w:val="32"/>
      </w:numPr>
    </w:pPr>
  </w:style>
  <w:style w:type="paragraph" w:customStyle="1" w:styleId="Ttulo1phd">
    <w:name w:val="Título 1 phd"/>
    <w:basedOn w:val="Normal"/>
    <w:qFormat/>
    <w:rsid w:val="000B48C9"/>
    <w:pPr>
      <w:numPr>
        <w:numId w:val="47"/>
      </w:numPr>
      <w:spacing w:after="160" w:line="259" w:lineRule="auto"/>
      <w:outlineLvl w:val="0"/>
    </w:pPr>
    <w:rPr>
      <w:rFonts w:ascii="Avenir Book" w:eastAsiaTheme="minorEastAsia" w:hAnsi="Avenir Book"/>
      <w:caps/>
      <w:color w:val="000000" w:themeColor="text1"/>
      <w:sz w:val="64"/>
      <w:szCs w:val="22"/>
      <w:lang w:val="en-US"/>
    </w:rPr>
  </w:style>
  <w:style w:type="paragraph" w:styleId="EndnoteText">
    <w:name w:val="endnote text"/>
    <w:basedOn w:val="Normal"/>
    <w:link w:val="EndnoteTextChar"/>
    <w:uiPriority w:val="99"/>
    <w:unhideWhenUsed/>
    <w:rsid w:val="000B48C9"/>
    <w:pPr>
      <w:ind w:firstLine="360"/>
    </w:pPr>
    <w:rPr>
      <w:rFonts w:ascii="Arial" w:eastAsiaTheme="minorEastAsia" w:hAnsi="Arial"/>
      <w:lang w:val="es-ES_tradnl"/>
    </w:rPr>
  </w:style>
  <w:style w:type="character" w:customStyle="1" w:styleId="EndnoteTextChar">
    <w:name w:val="Endnote Text Char"/>
    <w:basedOn w:val="DefaultParagraphFont"/>
    <w:link w:val="EndnoteText"/>
    <w:uiPriority w:val="99"/>
    <w:rsid w:val="000B48C9"/>
    <w:rPr>
      <w:rFonts w:ascii="Arial" w:eastAsiaTheme="minorEastAsia" w:hAnsi="Arial"/>
      <w:sz w:val="24"/>
      <w:szCs w:val="24"/>
      <w:lang w:val="es-ES_tradnl"/>
    </w:rPr>
  </w:style>
  <w:style w:type="character" w:styleId="EndnoteReference">
    <w:name w:val="endnote reference"/>
    <w:basedOn w:val="DefaultParagraphFont"/>
    <w:uiPriority w:val="99"/>
    <w:unhideWhenUsed/>
    <w:rsid w:val="000B48C9"/>
    <w:rPr>
      <w:vertAlign w:val="superscript"/>
    </w:rPr>
  </w:style>
  <w:style w:type="paragraph" w:customStyle="1" w:styleId="Bibliografa1">
    <w:name w:val="Bibliografía1"/>
    <w:basedOn w:val="Normal"/>
    <w:qFormat/>
    <w:rsid w:val="000B48C9"/>
    <w:pPr>
      <w:widowControl w:val="0"/>
      <w:tabs>
        <w:tab w:val="left" w:pos="260"/>
      </w:tabs>
      <w:autoSpaceDE w:val="0"/>
      <w:autoSpaceDN w:val="0"/>
      <w:adjustRightInd w:val="0"/>
      <w:spacing w:line="200" w:lineRule="atLeast"/>
      <w:ind w:left="266" w:hanging="266"/>
      <w:jc w:val="both"/>
    </w:pPr>
    <w:rPr>
      <w:rFonts w:eastAsiaTheme="minorEastAsia"/>
      <w:lang w:val="en-GB"/>
    </w:rPr>
  </w:style>
  <w:style w:type="paragraph" w:customStyle="1" w:styleId="Bibliografa2">
    <w:name w:val="Bibliografía2"/>
    <w:basedOn w:val="Normal"/>
    <w:link w:val="BibliographyCar1"/>
    <w:rsid w:val="000B48C9"/>
    <w:pPr>
      <w:widowControl w:val="0"/>
      <w:tabs>
        <w:tab w:val="left" w:pos="380"/>
      </w:tabs>
      <w:autoSpaceDE w:val="0"/>
      <w:autoSpaceDN w:val="0"/>
      <w:adjustRightInd w:val="0"/>
      <w:spacing w:after="240" w:line="240" w:lineRule="atLeast"/>
      <w:ind w:left="384" w:hanging="384"/>
      <w:jc w:val="both"/>
    </w:pPr>
    <w:rPr>
      <w:rFonts w:ascii="Garamond" w:eastAsiaTheme="minorEastAsia" w:hAnsi="Garamond"/>
      <w:color w:val="FF0000"/>
      <w:szCs w:val="22"/>
      <w:lang w:val="en-US"/>
    </w:rPr>
  </w:style>
  <w:style w:type="paragraph" w:customStyle="1" w:styleId="Bibliografa3">
    <w:name w:val="Bibliografía3"/>
    <w:basedOn w:val="Normal"/>
    <w:link w:val="BibliographyCar"/>
    <w:qFormat/>
    <w:rsid w:val="000B48C9"/>
    <w:pPr>
      <w:widowControl w:val="0"/>
      <w:autoSpaceDE w:val="0"/>
      <w:autoSpaceDN w:val="0"/>
      <w:adjustRightInd w:val="0"/>
      <w:ind w:left="720" w:hanging="720"/>
      <w:jc w:val="both"/>
    </w:pPr>
    <w:rPr>
      <w:rFonts w:ascii="Garamond" w:hAnsi="Garamond"/>
      <w:szCs w:val="22"/>
      <w:lang w:val="en-US"/>
    </w:rPr>
  </w:style>
  <w:style w:type="character" w:customStyle="1" w:styleId="BibliographyCar">
    <w:name w:val="Bibliography Car"/>
    <w:basedOn w:val="DefaultParagraphFont"/>
    <w:link w:val="Bibliografa3"/>
    <w:rsid w:val="000B48C9"/>
    <w:rPr>
      <w:rFonts w:ascii="Garamond" w:hAnsi="Garamond"/>
      <w:sz w:val="24"/>
      <w:lang w:val="en-US"/>
    </w:rPr>
  </w:style>
  <w:style w:type="paragraph" w:customStyle="1" w:styleId="Textotesis0">
    <w:name w:val="Texto tesis"/>
    <w:basedOn w:val="Normal"/>
    <w:link w:val="TextotesisCar0"/>
    <w:qFormat/>
    <w:rsid w:val="000B48C9"/>
    <w:pPr>
      <w:widowControl w:val="0"/>
      <w:autoSpaceDE w:val="0"/>
      <w:autoSpaceDN w:val="0"/>
      <w:adjustRightInd w:val="0"/>
      <w:spacing w:after="160" w:line="360" w:lineRule="auto"/>
      <w:ind w:firstLine="567"/>
      <w:jc w:val="both"/>
    </w:pPr>
    <w:rPr>
      <w:rFonts w:ascii="Garamond" w:hAnsi="Garamond"/>
      <w:szCs w:val="22"/>
      <w:lang w:val="en-US"/>
    </w:rPr>
  </w:style>
  <w:style w:type="character" w:customStyle="1" w:styleId="TextotesisCar0">
    <w:name w:val="Texto tesis Car"/>
    <w:basedOn w:val="DefaultParagraphFont"/>
    <w:link w:val="Textotesis0"/>
    <w:rsid w:val="000B48C9"/>
    <w:rPr>
      <w:rFonts w:ascii="Garamond" w:hAnsi="Garamond"/>
      <w:sz w:val="24"/>
      <w:lang w:val="en-US"/>
    </w:rPr>
  </w:style>
  <w:style w:type="paragraph" w:customStyle="1" w:styleId="PhD">
    <w:name w:val="PhD"/>
    <w:basedOn w:val="Heading1"/>
    <w:link w:val="PhDCar"/>
    <w:qFormat/>
    <w:rsid w:val="000B48C9"/>
    <w:rPr>
      <w:rFonts w:ascii="Helvetica Neue" w:hAnsi="Helvetica Neue"/>
      <w:b/>
      <w:bCs/>
      <w:sz w:val="28"/>
      <w:szCs w:val="28"/>
      <w:lang w:val="en-US"/>
    </w:rPr>
  </w:style>
  <w:style w:type="character" w:customStyle="1" w:styleId="PhDCar">
    <w:name w:val="PhD Car"/>
    <w:basedOn w:val="Heading1Char"/>
    <w:link w:val="PhD"/>
    <w:rsid w:val="000B48C9"/>
    <w:rPr>
      <w:rFonts w:ascii="Helvetica Neue" w:eastAsiaTheme="majorEastAsia" w:hAnsi="Helvetica Neue" w:cstheme="majorBidi"/>
      <w:b/>
      <w:bCs/>
      <w:color w:val="000000" w:themeColor="text1"/>
      <w:sz w:val="28"/>
      <w:szCs w:val="28"/>
      <w:lang w:val="en-US"/>
    </w:rPr>
  </w:style>
  <w:style w:type="character" w:customStyle="1" w:styleId="TextoTesisCar">
    <w:name w:val="Texto Tesis Car"/>
    <w:basedOn w:val="DefaultParagraphFont"/>
    <w:link w:val="TextoTesis"/>
    <w:rsid w:val="00804615"/>
    <w:rPr>
      <w:rFonts w:ascii="Garamond" w:hAnsi="Garamond"/>
      <w:sz w:val="24"/>
    </w:rPr>
  </w:style>
  <w:style w:type="paragraph" w:customStyle="1" w:styleId="Piesfigura">
    <w:name w:val="Pies figura"/>
    <w:basedOn w:val="TextoTesis"/>
    <w:qFormat/>
    <w:rsid w:val="000B48C9"/>
    <w:pPr>
      <w:adjustRightInd w:val="0"/>
      <w:spacing w:line="240" w:lineRule="auto"/>
    </w:pPr>
    <w:rPr>
      <w:sz w:val="21"/>
      <w:szCs w:val="24"/>
    </w:rPr>
  </w:style>
  <w:style w:type="character" w:customStyle="1" w:styleId="BibliographyCar1">
    <w:name w:val="Bibliography Car1"/>
    <w:basedOn w:val="TextotesisCar0"/>
    <w:link w:val="Bibliografa2"/>
    <w:rsid w:val="000B48C9"/>
    <w:rPr>
      <w:rFonts w:ascii="Garamond" w:eastAsiaTheme="minorEastAsia" w:hAnsi="Garamond"/>
      <w:color w:val="FF0000"/>
      <w:sz w:val="24"/>
      <w:lang w:val="en-US"/>
    </w:rPr>
  </w:style>
  <w:style w:type="numbering" w:customStyle="1" w:styleId="Listaactual27">
    <w:name w:val="Lista actual27"/>
    <w:uiPriority w:val="99"/>
    <w:rsid w:val="000B48C9"/>
    <w:pPr>
      <w:numPr>
        <w:numId w:val="33"/>
      </w:numPr>
    </w:pPr>
  </w:style>
  <w:style w:type="numbering" w:customStyle="1" w:styleId="Listaactual28">
    <w:name w:val="Lista actual28"/>
    <w:uiPriority w:val="99"/>
    <w:rsid w:val="000B48C9"/>
    <w:pPr>
      <w:numPr>
        <w:numId w:val="34"/>
      </w:numPr>
    </w:pPr>
  </w:style>
  <w:style w:type="numbering" w:customStyle="1" w:styleId="Listaactual29">
    <w:name w:val="Lista actual29"/>
    <w:uiPriority w:val="99"/>
    <w:rsid w:val="000B48C9"/>
    <w:pPr>
      <w:numPr>
        <w:numId w:val="35"/>
      </w:numPr>
    </w:pPr>
  </w:style>
  <w:style w:type="paragraph" w:customStyle="1" w:styleId="Estilo1">
    <w:name w:val="Estilo1"/>
    <w:basedOn w:val="Ttulo3Tesis"/>
    <w:qFormat/>
    <w:rsid w:val="000B48C9"/>
    <w:pPr>
      <w:numPr>
        <w:numId w:val="37"/>
      </w:numPr>
    </w:pPr>
  </w:style>
  <w:style w:type="numbering" w:customStyle="1" w:styleId="Listaactual30">
    <w:name w:val="Lista actual30"/>
    <w:uiPriority w:val="99"/>
    <w:rsid w:val="000B48C9"/>
    <w:pPr>
      <w:numPr>
        <w:numId w:val="36"/>
      </w:numPr>
    </w:pPr>
  </w:style>
  <w:style w:type="paragraph" w:customStyle="1" w:styleId="Estilo2">
    <w:name w:val="Estilo2"/>
    <w:basedOn w:val="Ttulo3Tesis"/>
    <w:qFormat/>
    <w:rsid w:val="000B48C9"/>
    <w:pPr>
      <w:numPr>
        <w:numId w:val="39"/>
      </w:numPr>
    </w:pPr>
  </w:style>
  <w:style w:type="numbering" w:customStyle="1" w:styleId="Listaactual31">
    <w:name w:val="Lista actual31"/>
    <w:uiPriority w:val="99"/>
    <w:rsid w:val="000B48C9"/>
    <w:pPr>
      <w:numPr>
        <w:numId w:val="38"/>
      </w:numPr>
    </w:pPr>
  </w:style>
  <w:style w:type="numbering" w:customStyle="1" w:styleId="Listaactual32">
    <w:name w:val="Lista actual32"/>
    <w:uiPriority w:val="99"/>
    <w:rsid w:val="000B48C9"/>
    <w:pPr>
      <w:numPr>
        <w:numId w:val="40"/>
      </w:numPr>
    </w:pPr>
  </w:style>
  <w:style w:type="numbering" w:customStyle="1" w:styleId="Listaactual33">
    <w:name w:val="Lista actual33"/>
    <w:uiPriority w:val="99"/>
    <w:rsid w:val="000B48C9"/>
    <w:pPr>
      <w:numPr>
        <w:numId w:val="41"/>
      </w:numPr>
    </w:pPr>
  </w:style>
  <w:style w:type="numbering" w:customStyle="1" w:styleId="Listaactual34">
    <w:name w:val="Lista actual34"/>
    <w:uiPriority w:val="99"/>
    <w:rsid w:val="000B48C9"/>
    <w:pPr>
      <w:numPr>
        <w:numId w:val="42"/>
      </w:numPr>
    </w:pPr>
  </w:style>
  <w:style w:type="numbering" w:customStyle="1" w:styleId="Listaactual35">
    <w:name w:val="Lista actual35"/>
    <w:uiPriority w:val="99"/>
    <w:rsid w:val="000B48C9"/>
    <w:pPr>
      <w:numPr>
        <w:numId w:val="43"/>
      </w:numPr>
    </w:pPr>
  </w:style>
  <w:style w:type="numbering" w:customStyle="1" w:styleId="Listaactual36">
    <w:name w:val="Lista actual36"/>
    <w:uiPriority w:val="99"/>
    <w:rsid w:val="000B48C9"/>
    <w:pPr>
      <w:numPr>
        <w:numId w:val="44"/>
      </w:numPr>
    </w:pPr>
  </w:style>
  <w:style w:type="numbering" w:customStyle="1" w:styleId="Listaactual37">
    <w:name w:val="Lista actual37"/>
    <w:uiPriority w:val="99"/>
    <w:rsid w:val="000B48C9"/>
    <w:pPr>
      <w:numPr>
        <w:numId w:val="45"/>
      </w:numPr>
    </w:pPr>
  </w:style>
  <w:style w:type="numbering" w:customStyle="1" w:styleId="Listaactual38">
    <w:name w:val="Lista actual38"/>
    <w:uiPriority w:val="99"/>
    <w:rsid w:val="000B48C9"/>
    <w:pPr>
      <w:numPr>
        <w:numId w:val="46"/>
      </w:numPr>
    </w:pPr>
  </w:style>
  <w:style w:type="paragraph" w:styleId="TOCHeading">
    <w:name w:val="TOC Heading"/>
    <w:basedOn w:val="Heading1"/>
    <w:next w:val="Normal"/>
    <w:uiPriority w:val="39"/>
    <w:unhideWhenUsed/>
    <w:qFormat/>
    <w:rsid w:val="000B48C9"/>
    <w:pPr>
      <w:spacing w:before="480" w:line="276" w:lineRule="auto"/>
      <w:outlineLvl w:val="9"/>
    </w:pPr>
    <w:rPr>
      <w:b/>
      <w:bCs/>
      <w:sz w:val="28"/>
      <w:szCs w:val="28"/>
      <w:lang w:eastAsia="es-ES_tradnl"/>
    </w:rPr>
  </w:style>
  <w:style w:type="paragraph" w:styleId="TOC2">
    <w:name w:val="toc 2"/>
    <w:basedOn w:val="Normal"/>
    <w:next w:val="Normal"/>
    <w:autoRedefine/>
    <w:uiPriority w:val="39"/>
    <w:unhideWhenUsed/>
    <w:rsid w:val="000B48C9"/>
    <w:pPr>
      <w:tabs>
        <w:tab w:val="left" w:pos="960"/>
        <w:tab w:val="right" w:leader="dot" w:pos="8630"/>
      </w:tabs>
      <w:ind w:left="240"/>
    </w:pPr>
    <w:rPr>
      <w:rFonts w:ascii="Garamond" w:hAnsi="Garamond" w:cs="Calibri (Cuerpo)"/>
      <w:caps/>
      <w:szCs w:val="20"/>
    </w:rPr>
  </w:style>
  <w:style w:type="paragraph" w:styleId="TOC1">
    <w:name w:val="toc 1"/>
    <w:basedOn w:val="Normal"/>
    <w:next w:val="Normal"/>
    <w:autoRedefine/>
    <w:uiPriority w:val="39"/>
    <w:unhideWhenUsed/>
    <w:rsid w:val="000B48C9"/>
    <w:pPr>
      <w:spacing w:before="120" w:after="120"/>
    </w:pPr>
    <w:rPr>
      <w:rFonts w:ascii="Garamond" w:hAnsi="Garamond" w:cs="Calibri (Cuerpo)"/>
      <w:b/>
      <w:bCs/>
      <w:szCs w:val="20"/>
    </w:rPr>
  </w:style>
  <w:style w:type="paragraph" w:styleId="TOC3">
    <w:name w:val="toc 3"/>
    <w:basedOn w:val="Normal"/>
    <w:next w:val="Normal"/>
    <w:autoRedefine/>
    <w:uiPriority w:val="39"/>
    <w:unhideWhenUsed/>
    <w:rsid w:val="000B48C9"/>
    <w:pPr>
      <w:ind w:left="480"/>
    </w:pPr>
    <w:rPr>
      <w:rFonts w:ascii="Garamond" w:hAnsi="Garamond" w:cstheme="minorHAnsi"/>
      <w:i/>
      <w:iCs/>
      <w:szCs w:val="20"/>
    </w:rPr>
  </w:style>
  <w:style w:type="paragraph" w:styleId="TOC4">
    <w:name w:val="toc 4"/>
    <w:basedOn w:val="Normal"/>
    <w:next w:val="Normal"/>
    <w:autoRedefine/>
    <w:uiPriority w:val="39"/>
    <w:unhideWhenUsed/>
    <w:rsid w:val="000B48C9"/>
    <w:pPr>
      <w:ind w:left="720"/>
    </w:pPr>
    <w:rPr>
      <w:rFonts w:ascii="Garamond" w:hAnsi="Garamond" w:cstheme="minorHAnsi"/>
      <w:szCs w:val="18"/>
    </w:rPr>
  </w:style>
  <w:style w:type="paragraph" w:styleId="TOC5">
    <w:name w:val="toc 5"/>
    <w:basedOn w:val="Normal"/>
    <w:next w:val="Normal"/>
    <w:autoRedefine/>
    <w:uiPriority w:val="39"/>
    <w:unhideWhenUsed/>
    <w:rsid w:val="000B48C9"/>
    <w:pPr>
      <w:ind w:left="960"/>
    </w:pPr>
    <w:rPr>
      <w:rFonts w:cstheme="minorHAnsi"/>
      <w:sz w:val="18"/>
      <w:szCs w:val="18"/>
    </w:rPr>
  </w:style>
  <w:style w:type="paragraph" w:styleId="TOC6">
    <w:name w:val="toc 6"/>
    <w:basedOn w:val="Normal"/>
    <w:next w:val="Normal"/>
    <w:autoRedefine/>
    <w:uiPriority w:val="39"/>
    <w:unhideWhenUsed/>
    <w:rsid w:val="000B48C9"/>
    <w:pPr>
      <w:ind w:left="1200"/>
    </w:pPr>
    <w:rPr>
      <w:rFonts w:cstheme="minorHAnsi"/>
      <w:sz w:val="18"/>
      <w:szCs w:val="18"/>
    </w:rPr>
  </w:style>
  <w:style w:type="paragraph" w:styleId="TOC7">
    <w:name w:val="toc 7"/>
    <w:basedOn w:val="Normal"/>
    <w:next w:val="Normal"/>
    <w:autoRedefine/>
    <w:uiPriority w:val="39"/>
    <w:unhideWhenUsed/>
    <w:rsid w:val="000B48C9"/>
    <w:pPr>
      <w:ind w:left="1440"/>
    </w:pPr>
    <w:rPr>
      <w:rFonts w:cstheme="minorHAnsi"/>
      <w:sz w:val="18"/>
      <w:szCs w:val="18"/>
    </w:rPr>
  </w:style>
  <w:style w:type="paragraph" w:styleId="TOC8">
    <w:name w:val="toc 8"/>
    <w:basedOn w:val="Normal"/>
    <w:next w:val="Normal"/>
    <w:autoRedefine/>
    <w:uiPriority w:val="39"/>
    <w:unhideWhenUsed/>
    <w:rsid w:val="000B48C9"/>
    <w:pPr>
      <w:ind w:left="1680"/>
    </w:pPr>
    <w:rPr>
      <w:rFonts w:cstheme="minorHAnsi"/>
      <w:sz w:val="18"/>
      <w:szCs w:val="18"/>
    </w:rPr>
  </w:style>
  <w:style w:type="paragraph" w:styleId="TOC9">
    <w:name w:val="toc 9"/>
    <w:basedOn w:val="Normal"/>
    <w:next w:val="Normal"/>
    <w:autoRedefine/>
    <w:uiPriority w:val="39"/>
    <w:unhideWhenUsed/>
    <w:rsid w:val="000B48C9"/>
    <w:pPr>
      <w:ind w:left="1920"/>
    </w:pPr>
    <w:rPr>
      <w:rFonts w:cstheme="minorHAnsi"/>
      <w:sz w:val="18"/>
      <w:szCs w:val="18"/>
    </w:rPr>
  </w:style>
  <w:style w:type="character" w:customStyle="1" w:styleId="Mencinsinresolver1">
    <w:name w:val="Mención sin resolver1"/>
    <w:basedOn w:val="DefaultParagraphFont"/>
    <w:uiPriority w:val="99"/>
    <w:semiHidden/>
    <w:unhideWhenUsed/>
    <w:rsid w:val="000B48C9"/>
    <w:rPr>
      <w:color w:val="605E5C"/>
      <w:shd w:val="clear" w:color="auto" w:fill="E1DFDD"/>
    </w:rPr>
  </w:style>
  <w:style w:type="paragraph" w:styleId="NoSpacing">
    <w:name w:val="No Spacing"/>
    <w:aliases w:val="Abreviations"/>
    <w:basedOn w:val="TextoTesis"/>
    <w:uiPriority w:val="1"/>
    <w:qFormat/>
    <w:rsid w:val="000B48C9"/>
    <w:pPr>
      <w:spacing w:before="0" w:after="0"/>
    </w:pPr>
  </w:style>
  <w:style w:type="paragraph" w:styleId="Subtitle">
    <w:name w:val="Subtitle"/>
    <w:aliases w:val="Figuras"/>
    <w:basedOn w:val="Normal"/>
    <w:next w:val="Normal"/>
    <w:link w:val="SubtitleChar"/>
    <w:uiPriority w:val="11"/>
    <w:qFormat/>
    <w:rsid w:val="000B48C9"/>
    <w:pPr>
      <w:numPr>
        <w:ilvl w:val="1"/>
      </w:numPr>
      <w:jc w:val="both"/>
    </w:pPr>
    <w:rPr>
      <w:rFonts w:ascii="Garamond" w:eastAsiaTheme="minorEastAsia" w:hAnsi="Garamond" w:cs="Times New Roman (Cuerpo en alfa"/>
      <w:b/>
      <w:color w:val="000000" w:themeColor="text1"/>
      <w:sz w:val="21"/>
      <w:szCs w:val="22"/>
    </w:rPr>
  </w:style>
  <w:style w:type="character" w:customStyle="1" w:styleId="SubtitleChar">
    <w:name w:val="Subtitle Char"/>
    <w:aliases w:val="Figuras Char"/>
    <w:basedOn w:val="DefaultParagraphFont"/>
    <w:link w:val="Subtitle"/>
    <w:uiPriority w:val="11"/>
    <w:rsid w:val="000B48C9"/>
    <w:rPr>
      <w:rFonts w:ascii="Garamond" w:eastAsiaTheme="minorEastAsia" w:hAnsi="Garamond" w:cs="Times New Roman (Cuerpo en alfa"/>
      <w:b/>
      <w:color w:val="000000" w:themeColor="text1"/>
      <w:sz w:val="21"/>
      <w:lang w:val="es-ES"/>
    </w:rPr>
  </w:style>
  <w:style w:type="character" w:styleId="SubtleEmphasis">
    <w:name w:val="Subtle Emphasis"/>
    <w:aliases w:val="Tablas titulos"/>
    <w:basedOn w:val="SubtitleChar"/>
    <w:uiPriority w:val="19"/>
    <w:qFormat/>
    <w:rsid w:val="000B48C9"/>
    <w:rPr>
      <w:rFonts w:ascii="Garamond" w:eastAsiaTheme="minorEastAsia" w:hAnsi="Garamond" w:cs="Times New Roman (Cuerpo en alfa"/>
      <w:b w:val="0"/>
      <w:i w:val="0"/>
      <w:iCs/>
      <w:color w:val="000000" w:themeColor="text1"/>
      <w:sz w:val="21"/>
      <w:szCs w:val="22"/>
      <w:lang w:val="es-ES"/>
    </w:rPr>
  </w:style>
  <w:style w:type="paragraph" w:styleId="BodyText">
    <w:name w:val="Body Text"/>
    <w:basedOn w:val="Normal"/>
    <w:link w:val="BodyTextChar"/>
    <w:uiPriority w:val="1"/>
    <w:qFormat/>
    <w:rsid w:val="000B48C9"/>
    <w:pPr>
      <w:widowControl w:val="0"/>
      <w:autoSpaceDE w:val="0"/>
      <w:autoSpaceDN w:val="0"/>
    </w:pPr>
    <w:rPr>
      <w:rFonts w:ascii="Roboto Condensed" w:eastAsia="Roboto Condensed" w:hAnsi="Roboto Condensed" w:cs="Roboto Condensed"/>
      <w:sz w:val="32"/>
      <w:szCs w:val="32"/>
    </w:rPr>
  </w:style>
  <w:style w:type="character" w:customStyle="1" w:styleId="BodyTextChar">
    <w:name w:val="Body Text Char"/>
    <w:basedOn w:val="DefaultParagraphFont"/>
    <w:link w:val="BodyText"/>
    <w:uiPriority w:val="1"/>
    <w:rsid w:val="000B48C9"/>
    <w:rPr>
      <w:rFonts w:ascii="Roboto Condensed" w:eastAsia="Roboto Condensed" w:hAnsi="Roboto Condensed" w:cs="Roboto Condensed"/>
      <w:sz w:val="32"/>
      <w:szCs w:val="32"/>
      <w:lang w:val="es-ES"/>
    </w:rPr>
  </w:style>
  <w:style w:type="paragraph" w:customStyle="1" w:styleId="Default">
    <w:name w:val="Default"/>
    <w:rsid w:val="000B48C9"/>
    <w:pPr>
      <w:widowControl w:val="0"/>
      <w:autoSpaceDE w:val="0"/>
      <w:autoSpaceDN w:val="0"/>
      <w:adjustRightInd w:val="0"/>
      <w:spacing w:after="0" w:line="240" w:lineRule="auto"/>
    </w:pPr>
    <w:rPr>
      <w:rFonts w:ascii="Gill Sans MT" w:eastAsia="Times New Roman" w:hAnsi="Gill Sans MT" w:cs="Gill Sans MT"/>
      <w:color w:val="000000"/>
      <w:sz w:val="24"/>
      <w:szCs w:val="24"/>
      <w:lang w:val="es-ES" w:eastAsia="es-ES"/>
    </w:rPr>
  </w:style>
  <w:style w:type="table" w:customStyle="1" w:styleId="TableGrid1">
    <w:name w:val="Table Grid1"/>
    <w:basedOn w:val="TableNormal"/>
    <w:next w:val="TableGrid"/>
    <w:uiPriority w:val="39"/>
    <w:rsid w:val="00FA218B"/>
    <w:pPr>
      <w:spacing w:after="0" w:line="240" w:lineRule="auto"/>
    </w:pPr>
    <w:rPr>
      <w:sz w:val="24"/>
      <w:szCs w:val="24"/>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070925">
      <w:bodyDiv w:val="1"/>
      <w:marLeft w:val="0"/>
      <w:marRight w:val="0"/>
      <w:marTop w:val="0"/>
      <w:marBottom w:val="0"/>
      <w:divBdr>
        <w:top w:val="none" w:sz="0" w:space="0" w:color="auto"/>
        <w:left w:val="none" w:sz="0" w:space="0" w:color="auto"/>
        <w:bottom w:val="none" w:sz="0" w:space="0" w:color="auto"/>
        <w:right w:val="none" w:sz="0" w:space="0" w:color="auto"/>
      </w:divBdr>
    </w:div>
    <w:div w:id="1423993227">
      <w:bodyDiv w:val="1"/>
      <w:marLeft w:val="0"/>
      <w:marRight w:val="0"/>
      <w:marTop w:val="0"/>
      <w:marBottom w:val="0"/>
      <w:divBdr>
        <w:top w:val="none" w:sz="0" w:space="0" w:color="auto"/>
        <w:left w:val="none" w:sz="0" w:space="0" w:color="auto"/>
        <w:bottom w:val="none" w:sz="0" w:space="0" w:color="auto"/>
        <w:right w:val="none" w:sz="0" w:space="0" w:color="auto"/>
      </w:divBdr>
    </w:div>
    <w:div w:id="178684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tiff"/><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FA44B-AB76-4D4C-A081-8BFEC855A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15912</Words>
  <Characters>90699</Characters>
  <Application>Microsoft Office Word</Application>
  <DocSecurity>0</DocSecurity>
  <Lines>755</Lines>
  <Paragraphs>212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 Inc.</Company>
  <LinksUpToDate>false</LinksUpToDate>
  <CharactersWithSpaces>106399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García Socuellamos</dc:creator>
  <cp:keywords/>
  <dc:description/>
  <cp:lastModifiedBy>Sarah Brown</cp:lastModifiedBy>
  <cp:revision>2</cp:revision>
  <dcterms:created xsi:type="dcterms:W3CDTF">2026-02-23T22:38:00Z</dcterms:created>
  <dcterms:modified xsi:type="dcterms:W3CDTF">2026-02-23T22:38:00Z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zotero-version="7.0.5"&gt;&lt;session id="yUyUz6pU"/&gt;&lt;style id="http://www.zotero.org/styles/nature" hasBibliography="1" bibliographyStyleHasBeenSet="1"/&gt;&lt;prefs&gt;&lt;pref name="fieldType" value="Field"/&gt;&lt;pref name="automaticJournalAbbreviatio</vt:lpwstr>
  </property>
  <property fmtid="{D5CDD505-2E9C-101B-9397-08002B2CF9AE}" pid="3" name="ZOTERO_PREF_2">
    <vt:lpwstr>ns" value="true"/&gt;&lt;/prefs&gt;&lt;/data&gt;</vt:lpwstr>
  </property>
  <property fmtid="{D5CDD505-2E9C-101B-9397-08002B2CF9AE}" pid="4" name="GrammarlyDocumentId">
    <vt:lpwstr>080ee7deed0f4eea816ec3c034ab23d9f8853179d47e52f8a18e02ea186d8742</vt:lpwstr>
  </property>
</Properties>
</file>