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13486" w14:textId="77777777" w:rsidR="00F561DD" w:rsidRDefault="00000000">
      <w:pPr>
        <w:spacing w:line="480" w:lineRule="auto"/>
        <w:jc w:val="left"/>
        <w:rPr>
          <w:rFonts w:ascii="Times New Roman" w:eastAsia="Calibri" w:hAnsi="Times New Roman" w:cs="Calibri"/>
          <w:b/>
          <w:sz w:val="24"/>
          <w:szCs w:val="20"/>
        </w:rPr>
      </w:pPr>
      <w:r>
        <w:rPr>
          <w:rFonts w:ascii="Times New Roman" w:eastAsia="Calibri" w:hAnsi="Times New Roman" w:cs="Calibri"/>
          <w:b/>
          <w:sz w:val="24"/>
          <w:szCs w:val="20"/>
        </w:rPr>
        <w:t>Title Page:</w:t>
      </w:r>
    </w:p>
    <w:p w14:paraId="0818B779" w14:textId="77777777" w:rsidR="00F561DD" w:rsidRDefault="00000000">
      <w:pPr>
        <w:pStyle w:val="AuthorsFull"/>
        <w:spacing w:line="480" w:lineRule="auto"/>
        <w:rPr>
          <w:rFonts w:eastAsiaTheme="minorEastAsia"/>
          <w:b/>
          <w:bCs/>
          <w:i w:val="0"/>
          <w:lang w:eastAsia="zh-CN"/>
        </w:rPr>
      </w:pPr>
      <w:r>
        <w:rPr>
          <w:rFonts w:eastAsiaTheme="minorEastAsia"/>
          <w:b/>
          <w:bCs/>
          <w:i w:val="0"/>
          <w:lang w:eastAsia="zh-CN"/>
        </w:rPr>
        <w:t xml:space="preserve">M1 Macrophage-Derived </w:t>
      </w:r>
      <w:proofErr w:type="spellStart"/>
      <w:r>
        <w:rPr>
          <w:rFonts w:eastAsiaTheme="minorEastAsia"/>
          <w:b/>
          <w:bCs/>
          <w:i w:val="0"/>
          <w:lang w:eastAsia="zh-CN"/>
        </w:rPr>
        <w:t>Migrasomes</w:t>
      </w:r>
      <w:proofErr w:type="spellEnd"/>
      <w:r>
        <w:rPr>
          <w:rFonts w:eastAsiaTheme="minorEastAsia"/>
          <w:b/>
          <w:bCs/>
          <w:i w:val="0"/>
          <w:lang w:eastAsia="zh-CN"/>
        </w:rPr>
        <w:t xml:space="preserve"> Exacerbate Post-Myocardial Infarction Injury via Guanylate Binding Protein 5</w:t>
      </w:r>
    </w:p>
    <w:p w14:paraId="374358AD" w14:textId="77777777" w:rsidR="00F561DD" w:rsidRDefault="00000000">
      <w:pPr>
        <w:pStyle w:val="AuthorsFull"/>
        <w:spacing w:line="480" w:lineRule="auto"/>
        <w:rPr>
          <w:rFonts w:eastAsiaTheme="minorEastAsia"/>
          <w:i w:val="0"/>
          <w:lang w:eastAsia="zh-CN"/>
        </w:rPr>
      </w:pPr>
      <w:r>
        <w:rPr>
          <w:rFonts w:eastAsiaTheme="minorEastAsia"/>
          <w:b/>
          <w:bCs/>
          <w:i w:val="0"/>
          <w:lang w:eastAsia="zh-CN"/>
        </w:rPr>
        <w:t>Authors:</w:t>
      </w:r>
      <w:r>
        <w:rPr>
          <w:rFonts w:eastAsiaTheme="minorEastAsia" w:hint="eastAsia"/>
          <w:i w:val="0"/>
          <w:lang w:eastAsia="zh-CN"/>
        </w:rPr>
        <w:t xml:space="preserve"> </w:t>
      </w:r>
      <w:proofErr w:type="spellStart"/>
      <w:r>
        <w:rPr>
          <w:rFonts w:eastAsiaTheme="minorEastAsia"/>
          <w:i w:val="0"/>
          <w:lang w:eastAsia="zh-CN"/>
        </w:rPr>
        <w:t>Qingfu</w:t>
      </w:r>
      <w:proofErr w:type="spellEnd"/>
      <w:r>
        <w:rPr>
          <w:rFonts w:eastAsiaTheme="minorEastAsia"/>
          <w:i w:val="0"/>
          <w:lang w:eastAsia="zh-CN"/>
        </w:rPr>
        <w:t xml:space="preserve"> Zhang</w:t>
      </w:r>
      <w:r>
        <w:rPr>
          <w:rFonts w:eastAsiaTheme="minorEastAsia"/>
          <w:i w:val="0"/>
          <w:vertAlign w:val="superscript"/>
          <w:lang w:eastAsia="zh-CN"/>
        </w:rPr>
        <w:t>1,6</w:t>
      </w:r>
      <w:r>
        <w:rPr>
          <w:rFonts w:eastAsiaTheme="minorEastAsia"/>
          <w:i w:val="0"/>
          <w:lang w:eastAsia="zh-CN"/>
        </w:rPr>
        <w:t xml:space="preserve">, </w:t>
      </w:r>
      <w:proofErr w:type="spellStart"/>
      <w:r>
        <w:rPr>
          <w:rFonts w:eastAsiaTheme="minorEastAsia"/>
          <w:i w:val="0"/>
          <w:lang w:eastAsia="zh-CN"/>
        </w:rPr>
        <w:t>Aolin</w:t>
      </w:r>
      <w:proofErr w:type="spellEnd"/>
      <w:r>
        <w:rPr>
          <w:rFonts w:eastAsiaTheme="minorEastAsia"/>
          <w:i w:val="0"/>
          <w:lang w:eastAsia="zh-CN"/>
        </w:rPr>
        <w:t xml:space="preserve"> Du</w:t>
      </w:r>
      <w:r>
        <w:rPr>
          <w:rFonts w:eastAsiaTheme="minorEastAsia"/>
          <w:i w:val="0"/>
          <w:vertAlign w:val="superscript"/>
          <w:lang w:eastAsia="zh-CN"/>
        </w:rPr>
        <w:t>1,6</w:t>
      </w:r>
      <w:r>
        <w:rPr>
          <w:rFonts w:eastAsiaTheme="minorEastAsia"/>
          <w:i w:val="0"/>
          <w:lang w:eastAsia="zh-CN"/>
        </w:rPr>
        <w:t xml:space="preserve">, </w:t>
      </w:r>
      <w:proofErr w:type="spellStart"/>
      <w:r>
        <w:rPr>
          <w:rFonts w:eastAsiaTheme="minorEastAsia"/>
          <w:i w:val="0"/>
          <w:lang w:eastAsia="zh-CN"/>
        </w:rPr>
        <w:t>Zhichao</w:t>
      </w:r>
      <w:proofErr w:type="spellEnd"/>
      <w:r>
        <w:rPr>
          <w:rFonts w:eastAsiaTheme="minorEastAsia"/>
          <w:i w:val="0"/>
          <w:lang w:eastAsia="zh-CN"/>
        </w:rPr>
        <w:t xml:space="preserve"> Li</w:t>
      </w:r>
      <w:r>
        <w:rPr>
          <w:rFonts w:eastAsiaTheme="minorEastAsia"/>
          <w:i w:val="0"/>
          <w:vertAlign w:val="superscript"/>
          <w:lang w:eastAsia="zh-CN"/>
        </w:rPr>
        <w:t>1,6</w:t>
      </w:r>
      <w:r>
        <w:rPr>
          <w:rFonts w:eastAsiaTheme="minorEastAsia"/>
          <w:i w:val="0"/>
          <w:lang w:eastAsia="zh-CN"/>
        </w:rPr>
        <w:t>, Hui Gu</w:t>
      </w:r>
      <w:r>
        <w:rPr>
          <w:rFonts w:eastAsiaTheme="minorEastAsia"/>
          <w:i w:val="0"/>
          <w:vertAlign w:val="superscript"/>
          <w:lang w:eastAsia="zh-CN"/>
        </w:rPr>
        <w:t>2</w:t>
      </w:r>
      <w:r>
        <w:rPr>
          <w:rFonts w:eastAsiaTheme="minorEastAsia"/>
          <w:i w:val="0"/>
          <w:lang w:eastAsia="zh-CN"/>
        </w:rPr>
        <w:t xml:space="preserve">, </w:t>
      </w:r>
      <w:proofErr w:type="spellStart"/>
      <w:r>
        <w:rPr>
          <w:rFonts w:eastAsiaTheme="minorEastAsia"/>
          <w:i w:val="0"/>
          <w:lang w:eastAsia="zh-CN"/>
        </w:rPr>
        <w:t>Wanqi</w:t>
      </w:r>
      <w:proofErr w:type="spellEnd"/>
      <w:r>
        <w:rPr>
          <w:rFonts w:eastAsiaTheme="minorEastAsia"/>
          <w:i w:val="0"/>
          <w:lang w:eastAsia="zh-CN"/>
        </w:rPr>
        <w:t xml:space="preserve"> Huang</w:t>
      </w:r>
      <w:r>
        <w:rPr>
          <w:rFonts w:eastAsiaTheme="minorEastAsia"/>
          <w:i w:val="0"/>
          <w:vertAlign w:val="superscript"/>
          <w:lang w:eastAsia="zh-CN"/>
        </w:rPr>
        <w:t>2</w:t>
      </w:r>
      <w:r>
        <w:rPr>
          <w:rFonts w:eastAsiaTheme="minorEastAsia"/>
          <w:i w:val="0"/>
          <w:lang w:eastAsia="zh-CN"/>
        </w:rPr>
        <w:t>, Ying Li</w:t>
      </w:r>
      <w:r>
        <w:rPr>
          <w:rFonts w:eastAsiaTheme="minorEastAsia"/>
          <w:i w:val="0"/>
          <w:vertAlign w:val="superscript"/>
          <w:lang w:eastAsia="zh-CN"/>
        </w:rPr>
        <w:t>1</w:t>
      </w:r>
      <w:r>
        <w:rPr>
          <w:rFonts w:eastAsiaTheme="minorEastAsia"/>
          <w:i w:val="0"/>
          <w:lang w:eastAsia="zh-CN"/>
        </w:rPr>
        <w:t>, Su Han</w:t>
      </w:r>
      <w:proofErr w:type="gramStart"/>
      <w:r>
        <w:rPr>
          <w:rFonts w:eastAsiaTheme="minorEastAsia"/>
          <w:i w:val="0"/>
          <w:vertAlign w:val="superscript"/>
          <w:lang w:eastAsia="zh-CN"/>
        </w:rPr>
        <w:t>1,*</w:t>
      </w:r>
      <w:proofErr w:type="gramEnd"/>
      <w:r>
        <w:rPr>
          <w:rFonts w:eastAsiaTheme="minorEastAsia"/>
          <w:i w:val="0"/>
          <w:lang w:eastAsia="zh-CN"/>
        </w:rPr>
        <w:t>,</w:t>
      </w:r>
      <w:r>
        <w:rPr>
          <w:rFonts w:eastAsiaTheme="minorEastAsia" w:hint="eastAsia"/>
          <w:i w:val="0"/>
          <w:lang w:eastAsia="zh-CN"/>
        </w:rPr>
        <w:t xml:space="preserve"> </w:t>
      </w:r>
      <w:proofErr w:type="spellStart"/>
      <w:r>
        <w:rPr>
          <w:rFonts w:eastAsiaTheme="minorEastAsia"/>
          <w:i w:val="0"/>
          <w:lang w:eastAsia="zh-CN"/>
        </w:rPr>
        <w:t>Chuanhe</w:t>
      </w:r>
      <w:proofErr w:type="spellEnd"/>
      <w:r>
        <w:rPr>
          <w:rFonts w:eastAsiaTheme="minorEastAsia"/>
          <w:i w:val="0"/>
          <w:lang w:eastAsia="zh-CN"/>
        </w:rPr>
        <w:t xml:space="preserve"> Wang</w:t>
      </w:r>
      <w:proofErr w:type="gramStart"/>
      <w:r>
        <w:rPr>
          <w:rFonts w:eastAsiaTheme="minorEastAsia"/>
          <w:i w:val="0"/>
          <w:vertAlign w:val="superscript"/>
          <w:lang w:eastAsia="zh-CN"/>
        </w:rPr>
        <w:t>1,*</w:t>
      </w:r>
      <w:proofErr w:type="gramEnd"/>
      <w:r>
        <w:rPr>
          <w:rFonts w:eastAsiaTheme="minorEastAsia"/>
          <w:i w:val="0"/>
          <w:lang w:eastAsia="zh-CN"/>
        </w:rPr>
        <w:t>,</w:t>
      </w:r>
      <w:r>
        <w:rPr>
          <w:rFonts w:eastAsiaTheme="minorEastAsia" w:hint="eastAsia"/>
          <w:i w:val="0"/>
          <w:lang w:eastAsia="zh-CN"/>
        </w:rPr>
        <w:t xml:space="preserve"> </w:t>
      </w:r>
      <w:r>
        <w:rPr>
          <w:rFonts w:eastAsiaTheme="minorEastAsia"/>
          <w:i w:val="0"/>
          <w:lang w:eastAsia="zh-CN"/>
        </w:rPr>
        <w:t>Zhijun Sun</w:t>
      </w:r>
      <w:proofErr w:type="gramStart"/>
      <w:r>
        <w:rPr>
          <w:rFonts w:eastAsiaTheme="minorEastAsia"/>
          <w:i w:val="0"/>
          <w:vertAlign w:val="superscript"/>
          <w:lang w:eastAsia="zh-CN"/>
        </w:rPr>
        <w:t>1,*</w:t>
      </w:r>
      <w:proofErr w:type="gramEnd"/>
    </w:p>
    <w:p w14:paraId="2DADB5C6" w14:textId="77777777" w:rsidR="00F561DD" w:rsidRDefault="00000000">
      <w:pPr>
        <w:pStyle w:val="AuthorsFull"/>
        <w:spacing w:line="480" w:lineRule="auto"/>
        <w:rPr>
          <w:rFonts w:eastAsiaTheme="minorEastAsia"/>
          <w:i w:val="0"/>
          <w:lang w:eastAsia="zh-CN"/>
        </w:rPr>
      </w:pPr>
      <w:r>
        <w:rPr>
          <w:rFonts w:eastAsiaTheme="minorEastAsia"/>
          <w:i w:val="0"/>
          <w:vertAlign w:val="superscript"/>
          <w:lang w:eastAsia="zh-CN"/>
        </w:rPr>
        <w:t xml:space="preserve">* </w:t>
      </w:r>
      <w:r>
        <w:rPr>
          <w:rFonts w:eastAsiaTheme="minorEastAsia"/>
          <w:i w:val="0"/>
          <w:lang w:eastAsia="zh-CN"/>
        </w:rPr>
        <w:t xml:space="preserve">Corresponding author: Su Han; </w:t>
      </w:r>
      <w:proofErr w:type="spellStart"/>
      <w:r>
        <w:rPr>
          <w:rFonts w:eastAsiaTheme="minorEastAsia"/>
          <w:i w:val="0"/>
          <w:lang w:eastAsia="zh-CN"/>
        </w:rPr>
        <w:t>Chuanhe</w:t>
      </w:r>
      <w:proofErr w:type="spellEnd"/>
      <w:r>
        <w:rPr>
          <w:rFonts w:eastAsiaTheme="minorEastAsia"/>
          <w:i w:val="0"/>
          <w:lang w:eastAsia="zh-CN"/>
        </w:rPr>
        <w:t xml:space="preserve"> Wang; Zhijun Sun</w:t>
      </w:r>
    </w:p>
    <w:p w14:paraId="7C2326FF" w14:textId="77777777" w:rsidR="00F561DD" w:rsidRDefault="00000000">
      <w:pPr>
        <w:pStyle w:val="AuthorsFull"/>
        <w:spacing w:line="480" w:lineRule="auto"/>
      </w:pPr>
      <w:r>
        <w:rPr>
          <w:rFonts w:eastAsiaTheme="minorEastAsia"/>
          <w:i w:val="0"/>
          <w:vertAlign w:val="superscript"/>
          <w:lang w:eastAsia="zh-CN"/>
        </w:rPr>
        <w:t xml:space="preserve">6 </w:t>
      </w:r>
      <w:r>
        <w:rPr>
          <w:rFonts w:eastAsiaTheme="minorEastAsia"/>
          <w:i w:val="0"/>
          <w:lang w:eastAsia="zh-CN"/>
        </w:rPr>
        <w:t>Equal Contributions: These authors contributed equally.</w:t>
      </w:r>
    </w:p>
    <w:p w14:paraId="6B9BFC12" w14:textId="77777777" w:rsidR="00F561DD" w:rsidRDefault="00000000">
      <w:pPr>
        <w:pStyle w:val="AuthorsFull"/>
        <w:spacing w:line="480" w:lineRule="auto"/>
        <w:rPr>
          <w:i w:val="0"/>
          <w:iCs/>
        </w:rPr>
      </w:pPr>
      <w:r>
        <w:rPr>
          <w:b/>
          <w:bCs/>
          <w:i w:val="0"/>
          <w:iCs/>
        </w:rPr>
        <w:t>Corresponding author E-mail:</w:t>
      </w:r>
      <w:r>
        <w:rPr>
          <w:i w:val="0"/>
          <w:iCs/>
        </w:rPr>
        <w:t xml:space="preserve"> </w:t>
      </w:r>
    </w:p>
    <w:p w14:paraId="5A222D0F" w14:textId="77777777" w:rsidR="00F561DD" w:rsidRDefault="00000000">
      <w:pPr>
        <w:spacing w:line="480" w:lineRule="auto"/>
        <w:jc w:val="left"/>
        <w:rPr>
          <w:rFonts w:eastAsia="SimSun"/>
          <w:iCs/>
        </w:rPr>
      </w:pPr>
      <w:r>
        <w:rPr>
          <w:rFonts w:ascii="Times New Roman" w:hAnsi="Times New Roman" w:cs="Times New Roman" w:hint="eastAsia"/>
          <w:sz w:val="24"/>
        </w:rPr>
        <w:t>hansu8866@126.com;</w:t>
      </w:r>
      <w:r>
        <w:rPr>
          <w:rFonts w:ascii="Times New Roman" w:eastAsia="SimSu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wchhcmu@163.com</w:t>
      </w:r>
      <w:r>
        <w:rPr>
          <w:rFonts w:ascii="Times New Roman" w:hAnsi="Times New Roman" w:cs="Times New Roman" w:hint="eastAsia"/>
          <w:b/>
          <w:bCs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>sunzj_99@163.com</w:t>
      </w:r>
    </w:p>
    <w:p w14:paraId="6C276F4A" w14:textId="77777777" w:rsidR="00F561DD" w:rsidRDefault="00000000">
      <w:pPr>
        <w:pStyle w:val="AuthorsFull"/>
        <w:spacing w:line="480" w:lineRule="auto"/>
        <w:rPr>
          <w:i w:val="0"/>
          <w:iCs/>
        </w:rPr>
      </w:pPr>
      <w:r>
        <w:rPr>
          <w:b/>
          <w:bCs/>
          <w:i w:val="0"/>
          <w:iCs/>
        </w:rPr>
        <w:t>Affiliation:</w:t>
      </w:r>
      <w:r>
        <w:rPr>
          <w:i w:val="0"/>
          <w:iCs/>
        </w:rPr>
        <w:t xml:space="preserve"> </w:t>
      </w:r>
      <w:r>
        <w:rPr>
          <w:i w:val="0"/>
          <w:iCs/>
          <w:vertAlign w:val="superscript"/>
        </w:rPr>
        <w:t>1</w:t>
      </w:r>
      <w:r>
        <w:rPr>
          <w:i w:val="0"/>
          <w:iCs/>
        </w:rPr>
        <w:t xml:space="preserve">Department of Cardiology, </w:t>
      </w:r>
      <w:proofErr w:type="spellStart"/>
      <w:r>
        <w:rPr>
          <w:i w:val="0"/>
          <w:iCs/>
        </w:rPr>
        <w:t>Shengjing</w:t>
      </w:r>
      <w:proofErr w:type="spellEnd"/>
      <w:r>
        <w:rPr>
          <w:i w:val="0"/>
          <w:iCs/>
        </w:rPr>
        <w:t xml:space="preserve"> Hospital of China Medical University, Shenyang, Liaoning, P. R. China</w:t>
      </w:r>
    </w:p>
    <w:p w14:paraId="3FE557BA" w14:textId="77777777" w:rsidR="00F561DD" w:rsidRDefault="00000000">
      <w:pPr>
        <w:pStyle w:val="AuthorsFull"/>
        <w:spacing w:line="480" w:lineRule="auto"/>
        <w:rPr>
          <w:i w:val="0"/>
          <w:iCs/>
        </w:rPr>
      </w:pPr>
      <w:r>
        <w:rPr>
          <w:i w:val="0"/>
          <w:iCs/>
          <w:vertAlign w:val="superscript"/>
          <w:lang w:eastAsia="zh-CN"/>
        </w:rPr>
        <w:t>2</w:t>
      </w:r>
      <w:r>
        <w:rPr>
          <w:i w:val="0"/>
          <w:iCs/>
        </w:rPr>
        <w:t>NHC Key Laboratory of</w:t>
      </w:r>
      <w:r>
        <w:rPr>
          <w:i w:val="0"/>
          <w:iCs/>
          <w:lang w:eastAsia="zh-CN"/>
        </w:rPr>
        <w:t xml:space="preserve"> </w:t>
      </w:r>
      <w:r>
        <w:rPr>
          <w:i w:val="0"/>
          <w:iCs/>
        </w:rPr>
        <w:t xml:space="preserve">Congenital </w:t>
      </w:r>
      <w:proofErr w:type="spellStart"/>
      <w:proofErr w:type="gramStart"/>
      <w:r>
        <w:rPr>
          <w:i w:val="0"/>
          <w:iCs/>
        </w:rPr>
        <w:t>Malformation,Shengjing</w:t>
      </w:r>
      <w:proofErr w:type="spellEnd"/>
      <w:proofErr w:type="gramEnd"/>
      <w:r>
        <w:rPr>
          <w:i w:val="0"/>
          <w:iCs/>
        </w:rPr>
        <w:t xml:space="preserve"> Hospital of China Medical University,110004, Shenyang, Liaoning, China.</w:t>
      </w:r>
    </w:p>
    <w:p w14:paraId="5C635F7F" w14:textId="77777777" w:rsidR="00F561DD" w:rsidRDefault="00000000">
      <w:pPr>
        <w:pStyle w:val="AuthorsFull"/>
        <w:spacing w:line="480" w:lineRule="auto"/>
        <w:rPr>
          <w:i w:val="0"/>
          <w:iCs/>
        </w:rPr>
      </w:pPr>
      <w:r>
        <w:rPr>
          <w:b/>
          <w:bCs/>
          <w:i w:val="0"/>
          <w:iCs/>
        </w:rPr>
        <w:t>Mailing address:</w:t>
      </w:r>
      <w:r>
        <w:rPr>
          <w:i w:val="0"/>
          <w:iCs/>
        </w:rPr>
        <w:t xml:space="preserve"> 136 </w:t>
      </w:r>
      <w:proofErr w:type="spellStart"/>
      <w:r>
        <w:rPr>
          <w:i w:val="0"/>
          <w:iCs/>
        </w:rPr>
        <w:t>Sanhao</w:t>
      </w:r>
      <w:proofErr w:type="spellEnd"/>
      <w:r>
        <w:rPr>
          <w:i w:val="0"/>
          <w:iCs/>
        </w:rPr>
        <w:t xml:space="preserve"> Street, Heping District, Shenyang, </w:t>
      </w:r>
      <w:r>
        <w:rPr>
          <w:i w:val="0"/>
          <w:iCs/>
          <w:lang w:eastAsia="zh-CN"/>
        </w:rPr>
        <w:t>11000</w:t>
      </w:r>
      <w:r>
        <w:rPr>
          <w:i w:val="0"/>
          <w:iCs/>
        </w:rPr>
        <w:t>, Liaoning Province, P. R. China</w:t>
      </w:r>
    </w:p>
    <w:p w14:paraId="6B537EAC" w14:textId="77777777" w:rsidR="00F561DD" w:rsidRDefault="00000000">
      <w:pPr>
        <w:pStyle w:val="AuthorsFull"/>
        <w:spacing w:line="480" w:lineRule="auto"/>
        <w:rPr>
          <w:i w:val="0"/>
          <w:iCs/>
        </w:rPr>
      </w:pPr>
      <w:r>
        <w:rPr>
          <w:b/>
          <w:bCs/>
          <w:i w:val="0"/>
          <w:iCs/>
        </w:rPr>
        <w:t>Telephone Number:</w:t>
      </w:r>
      <w:r>
        <w:rPr>
          <w:i w:val="0"/>
          <w:iCs/>
        </w:rPr>
        <w:t xml:space="preserve"> +86 18940251218</w:t>
      </w:r>
    </w:p>
    <w:p w14:paraId="7D2F9021" w14:textId="77777777" w:rsidR="00F561DD" w:rsidRDefault="00F561DD">
      <w:pPr>
        <w:pStyle w:val="AuthorsFull"/>
        <w:spacing w:line="480" w:lineRule="auto"/>
        <w:rPr>
          <w:i w:val="0"/>
          <w:iCs/>
        </w:rPr>
      </w:pPr>
    </w:p>
    <w:p w14:paraId="24B947BD" w14:textId="77777777" w:rsidR="00F561DD" w:rsidRDefault="00F561DD">
      <w:pPr>
        <w:pStyle w:val="AuthorsFull"/>
        <w:spacing w:line="480" w:lineRule="auto"/>
        <w:rPr>
          <w:i w:val="0"/>
          <w:iCs/>
        </w:rPr>
      </w:pPr>
    </w:p>
    <w:p w14:paraId="7301D9FA" w14:textId="77777777" w:rsidR="00F561DD" w:rsidRDefault="00F561DD">
      <w:pPr>
        <w:pStyle w:val="AuthorsFull"/>
        <w:spacing w:line="480" w:lineRule="auto"/>
        <w:rPr>
          <w:i w:val="0"/>
          <w:iCs/>
        </w:rPr>
      </w:pPr>
    </w:p>
    <w:p w14:paraId="29142E21" w14:textId="77777777" w:rsidR="00F561DD" w:rsidRDefault="00F561DD"/>
    <w:p w14:paraId="063A6775" w14:textId="77777777" w:rsidR="00F561DD" w:rsidRDefault="00F561DD"/>
    <w:p w14:paraId="099FA137" w14:textId="77777777" w:rsidR="00F561DD" w:rsidRDefault="00F561DD"/>
    <w:p w14:paraId="4BF866D0" w14:textId="77777777" w:rsidR="00F561DD" w:rsidRDefault="00F561DD"/>
    <w:p w14:paraId="138D1D5F" w14:textId="77777777" w:rsidR="00F561DD" w:rsidRDefault="00000000">
      <w:r>
        <w:rPr>
          <w:rFonts w:hint="eastAsia"/>
          <w:noProof/>
        </w:rPr>
        <w:lastRenderedPageBreak/>
        <w:drawing>
          <wp:inline distT="0" distB="0" distL="114300" distR="114300" wp14:anchorId="45F3CD50" wp14:editId="35183E85">
            <wp:extent cx="5307330" cy="5095875"/>
            <wp:effectExtent l="0" t="0" r="7620" b="9525"/>
            <wp:docPr id="7" name="图片 7" descr="实验图片_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实验图片_01(1)"/>
                    <pic:cNvPicPr>
                      <a:picLocks noChangeAspect="1"/>
                    </pic:cNvPicPr>
                  </pic:nvPicPr>
                  <pic:blipFill>
                    <a:blip r:embed="rId4"/>
                    <a:srcRect l="6330" t="1382" r="16614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C76E4" w14:textId="77777777" w:rsidR="00F561DD" w:rsidRDefault="00000000">
      <w:pPr>
        <w:spacing w:line="480" w:lineRule="auto"/>
        <w:jc w:val="left"/>
        <w:rPr>
          <w:rFonts w:ascii="Times New Roman" w:eastAsia="Calibri" w:hAnsi="Times New Roman" w:cs="Calibri"/>
          <w:kern w:val="0"/>
          <w:sz w:val="24"/>
          <w:szCs w:val="20"/>
        </w:rPr>
      </w:pPr>
      <w:r>
        <w:rPr>
          <w:rFonts w:ascii="Times New Roman" w:eastAsia="Calibri" w:hAnsi="Times New Roman" w:cs="Calibri" w:hint="eastAsia"/>
          <w:b/>
          <w:bCs/>
          <w:kern w:val="0"/>
          <w:sz w:val="24"/>
          <w:szCs w:val="20"/>
        </w:rPr>
        <w:t>Figure S1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. Immunohistochemistry and immunofluorescence analysis of myocardial tissues from MI mouse models. A) Representative immunohistochemistry (IHC) images (left) and quantitative analysis (right) of TSPAN4 (a specific marker of </w:t>
      </w:r>
      <w:proofErr w:type="spellStart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migrasomes</w:t>
      </w:r>
      <w:proofErr w:type="spellEnd"/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) in myocardial tissue sections (n = 6). TSPAN4 expression was significantly elevated in the MI group compared to the </w:t>
      </w:r>
      <w:proofErr w:type="gramStart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sham</w:t>
      </w:r>
      <w:proofErr w:type="gramEnd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-operated (Sham) group (p &lt; 0.0001). B) Immunofluorescence co-localization analysis of TSPAN4 (green) with cell-type specific markers (red) in myocardial tissues: Neutrophil (CD11b, red), Fibroblast (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α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-SMA, red), Macrophage (</w:t>
      </w:r>
      <w:proofErr w:type="spellStart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iNOS</w:t>
      </w:r>
      <w:proofErr w:type="spellEnd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, red); DAPI (blue) for nuclear staining. Scale bars = 25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μ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m.</w:t>
      </w:r>
      <w:bookmarkStart w:id="0" w:name="OLE_LINK1"/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 C) Immunostaining images of wheat germ agglutinin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lastRenderedPageBreak/>
        <w:t xml:space="preserve">(WGA)-labeled M2 macrophages. Scale bars = 10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μ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m.(n = 3) D) SEM images of M2 macrophages (n = 3). Scale bars = 20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μ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m. Results are presented as mean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±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 SD. **p &lt; 0.01, ***p &lt; 0.001. One-way ANOVA or two-way ANOVA was used for multivariate analysis, and unpaired t-tests for comparisons between two groups. </w:t>
      </w:r>
    </w:p>
    <w:bookmarkEnd w:id="0"/>
    <w:p w14:paraId="1E59D735" w14:textId="77777777" w:rsidR="00F561DD" w:rsidRDefault="00F561DD"/>
    <w:p w14:paraId="77A1BF94" w14:textId="77777777" w:rsidR="00F561DD" w:rsidRDefault="00F561DD"/>
    <w:p w14:paraId="133F7ADE" w14:textId="77777777" w:rsidR="00F561DD" w:rsidRDefault="00F561DD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</w:p>
    <w:p w14:paraId="055951EC" w14:textId="77777777" w:rsidR="00F561DD" w:rsidRDefault="00F561DD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</w:p>
    <w:p w14:paraId="4EA871D9" w14:textId="77777777" w:rsidR="00F561DD" w:rsidRDefault="00F561DD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</w:p>
    <w:p w14:paraId="2F2464A1" w14:textId="77777777" w:rsidR="00F561DD" w:rsidRDefault="00F561DD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</w:p>
    <w:p w14:paraId="22354351" w14:textId="77777777" w:rsidR="00F561DD" w:rsidRDefault="00F561DD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</w:p>
    <w:p w14:paraId="70643132" w14:textId="77777777" w:rsidR="00F561DD" w:rsidRDefault="00F561DD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</w:p>
    <w:p w14:paraId="4EC042E6" w14:textId="77777777" w:rsidR="00F561DD" w:rsidRDefault="00F561DD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</w:p>
    <w:p w14:paraId="40D35596" w14:textId="77777777" w:rsidR="00F561DD" w:rsidRDefault="00F561DD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</w:p>
    <w:p w14:paraId="068721C7" w14:textId="77777777" w:rsidR="00F561DD" w:rsidRDefault="00F561DD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</w:p>
    <w:p w14:paraId="0927914F" w14:textId="77777777" w:rsidR="00F561DD" w:rsidRDefault="00F561DD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</w:p>
    <w:p w14:paraId="4DFE3826" w14:textId="77777777" w:rsidR="00F561DD" w:rsidRDefault="00000000">
      <w:pPr>
        <w:spacing w:line="480" w:lineRule="auto"/>
        <w:jc w:val="left"/>
        <w:rPr>
          <w:rFonts w:ascii="Times New Roman" w:eastAsia="Calibri" w:hAnsi="Times New Roman" w:cs="Calibri"/>
          <w:kern w:val="0"/>
          <w:sz w:val="24"/>
          <w:szCs w:val="20"/>
        </w:rPr>
      </w:pPr>
      <w:r>
        <w:rPr>
          <w:rFonts w:ascii="Times New Roman" w:eastAsia="Calibri" w:hAnsi="Times New Roman" w:cs="Calibri" w:hint="eastAsia"/>
          <w:b/>
          <w:bCs/>
          <w:noProof/>
          <w:kern w:val="0"/>
          <w:sz w:val="24"/>
          <w:szCs w:val="20"/>
        </w:rPr>
        <w:lastRenderedPageBreak/>
        <w:drawing>
          <wp:inline distT="0" distB="0" distL="114300" distR="114300" wp14:anchorId="7E234097" wp14:editId="2971DD9D">
            <wp:extent cx="5336540" cy="2919095"/>
            <wp:effectExtent l="0" t="0" r="0" b="0"/>
            <wp:docPr id="4" name="图片 4" descr="实验图片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实验图片_01"/>
                    <pic:cNvPicPr>
                      <a:picLocks noChangeAspect="1"/>
                    </pic:cNvPicPr>
                  </pic:nvPicPr>
                  <pic:blipFill>
                    <a:blip r:embed="rId5"/>
                    <a:srcRect l="2044" t="8359" r="3075" b="22456"/>
                    <a:stretch>
                      <a:fillRect/>
                    </a:stretch>
                  </pic:blipFill>
                  <pic:spPr>
                    <a:xfrm>
                      <a:off x="0" y="0"/>
                      <a:ext cx="533654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Calibri" w:hint="eastAsia"/>
          <w:b/>
          <w:bCs/>
          <w:kern w:val="0"/>
          <w:sz w:val="24"/>
          <w:szCs w:val="20"/>
        </w:rPr>
        <w:t>Figure S2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. Functional validation of M1-Migs at animal and cellular levels. </w:t>
      </w:r>
      <w:proofErr w:type="gramStart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A)Representative</w:t>
      </w:r>
      <w:proofErr w:type="gramEnd"/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 fluorescent images of mouse myocardial tissues following intramyocardial delivery of PKH26-labeled </w:t>
      </w:r>
      <w:proofErr w:type="spellStart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migrasomes</w:t>
      </w:r>
      <w:proofErr w:type="spellEnd"/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 (red). </w:t>
      </w:r>
      <w:proofErr w:type="spellStart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Migrasome</w:t>
      </w:r>
      <w:proofErr w:type="spellEnd"/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 distribution was visualized in myocardial sections, with DAPI (blue) used for nuclear staining; scale bars are indicated in individual panels. Scale bars = 50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μ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m. B) TEM observation of myocardial tissue sections from different treatment groups. Myocardial cells in M1-Migs-treated mouse tissues showed more pronounced swelling and severe mitochondrial damage. Scale bars = 2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μ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m and 1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μ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m. (n=6) C) CCK8 assay of cardiomyocytes treated with different concentrations of M1-Migs. Cardiomyocyte viability significantly decreased with increasing M1-Migs concentration. (n=3) Results are presented as mean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±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 SD. **p &lt; 0.01, ***p &lt; 0.001. One-way ANOVA or two-way ANOVA was used for multivariate analysis, and unpaired t-tests for comparisons between two groups.</w:t>
      </w:r>
    </w:p>
    <w:p w14:paraId="2CBCE957" w14:textId="77777777" w:rsidR="00F561DD" w:rsidRDefault="00000000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  <w:r>
        <w:rPr>
          <w:rFonts w:ascii="Times New Roman" w:eastAsia="Calibri" w:hAnsi="Times New Roman" w:cs="Calibri"/>
          <w:b/>
          <w:bCs/>
          <w:noProof/>
          <w:kern w:val="0"/>
          <w:sz w:val="24"/>
          <w:szCs w:val="20"/>
        </w:rPr>
        <w:drawing>
          <wp:inline distT="0" distB="0" distL="114300" distR="114300" wp14:anchorId="104F9426" wp14:editId="57F32D8D">
            <wp:extent cx="5211445" cy="4299585"/>
            <wp:effectExtent l="0" t="0" r="8255" b="5715"/>
            <wp:docPr id="2" name="图片 2" descr="实验图片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实验图片_01"/>
                    <pic:cNvPicPr>
                      <a:picLocks noChangeAspect="1"/>
                    </pic:cNvPicPr>
                  </pic:nvPicPr>
                  <pic:blipFill>
                    <a:blip r:embed="rId6"/>
                    <a:srcRect l="2762" r="8838" b="2781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78C8" w14:textId="77777777" w:rsidR="00F561DD" w:rsidRDefault="00000000">
      <w:pPr>
        <w:spacing w:line="480" w:lineRule="auto"/>
        <w:jc w:val="left"/>
      </w:pPr>
      <w:r>
        <w:rPr>
          <w:rFonts w:ascii="Times New Roman" w:eastAsia="Calibri" w:hAnsi="Times New Roman" w:cs="Calibri"/>
          <w:b/>
          <w:bCs/>
          <w:kern w:val="0"/>
          <w:sz w:val="24"/>
          <w:szCs w:val="20"/>
        </w:rPr>
        <w:t>Figure S3</w:t>
      </w:r>
      <w:r>
        <w:rPr>
          <w:rFonts w:ascii="Times New Roman" w:eastAsia="Calibri" w:hAnsi="Times New Roman" w:cs="Calibri"/>
          <w:kern w:val="0"/>
          <w:sz w:val="24"/>
          <w:szCs w:val="20"/>
        </w:rPr>
        <w:t xml:space="preserve">. Proteomic sequencing of M1-Migs and M0-Migs was performed. </w:t>
      </w:r>
      <w:proofErr w:type="gramStart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A)</w:t>
      </w:r>
      <w:r>
        <w:rPr>
          <w:rFonts w:ascii="Times New Roman" w:eastAsia="Calibri" w:hAnsi="Times New Roman" w:cs="Calibri"/>
          <w:kern w:val="0"/>
          <w:sz w:val="24"/>
          <w:szCs w:val="20"/>
        </w:rPr>
        <w:t>Quality</w:t>
      </w:r>
      <w:proofErr w:type="gramEnd"/>
      <w:r>
        <w:rPr>
          <w:rFonts w:ascii="Times New Roman" w:eastAsia="Calibri" w:hAnsi="Times New Roman" w:cs="Calibri"/>
          <w:kern w:val="0"/>
          <w:sz w:val="24"/>
          <w:szCs w:val="20"/>
        </w:rPr>
        <w:t xml:space="preserve"> control and correlation analysis were conducted for the two groups of samples.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 </w:t>
      </w:r>
      <w:proofErr w:type="gramStart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B)Lentivirus</w:t>
      </w:r>
      <w:proofErr w:type="gramEnd"/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-carrying shGBP5-1 significantly knocked down GBP5 expression in M1 macrophages, and the cell line was expanded for subsequent experiments. C)Immunofluorescence localization of GBP5 in M0-Migs. Scale bars = 5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μ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m (low magnification) and 1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μ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m (high magnification). Three independent biological replicates were performed.</w:t>
      </w:r>
    </w:p>
    <w:p w14:paraId="38368A1E" w14:textId="77777777" w:rsidR="00F561DD" w:rsidRDefault="00000000">
      <w:pPr>
        <w:spacing w:line="480" w:lineRule="auto"/>
        <w:jc w:val="left"/>
        <w:rPr>
          <w:rFonts w:ascii="Times New Roman" w:eastAsia="Calibri" w:hAnsi="Times New Roman" w:cs="Calibri"/>
          <w:b/>
          <w:bCs/>
          <w:kern w:val="0"/>
          <w:sz w:val="24"/>
          <w:szCs w:val="20"/>
        </w:rPr>
      </w:pPr>
      <w:r>
        <w:rPr>
          <w:rFonts w:ascii="Times New Roman" w:eastAsia="Calibri" w:hAnsi="Times New Roman" w:cs="Calibri"/>
          <w:b/>
          <w:bCs/>
          <w:noProof/>
          <w:kern w:val="0"/>
          <w:sz w:val="24"/>
          <w:szCs w:val="20"/>
        </w:rPr>
        <w:drawing>
          <wp:inline distT="0" distB="0" distL="114300" distR="114300" wp14:anchorId="27275975" wp14:editId="2B9FB22D">
            <wp:extent cx="3503930" cy="5958205"/>
            <wp:effectExtent l="0" t="0" r="1270" b="635"/>
            <wp:docPr id="13" name="图片 13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4"/>
                    <pic:cNvPicPr>
                      <a:picLocks noChangeAspect="1"/>
                    </pic:cNvPicPr>
                  </pic:nvPicPr>
                  <pic:blipFill>
                    <a:blip r:embed="rId7"/>
                    <a:srcRect l="13031" t="8238" r="38950" b="8643"/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D653C" w14:textId="77777777" w:rsidR="00F561DD" w:rsidRDefault="00000000">
      <w:pPr>
        <w:spacing w:line="480" w:lineRule="auto"/>
        <w:jc w:val="left"/>
        <w:rPr>
          <w:rFonts w:ascii="Times New Roman" w:eastAsia="Calibri" w:hAnsi="Times New Roman" w:cs="Calibri"/>
          <w:kern w:val="0"/>
          <w:sz w:val="24"/>
          <w:szCs w:val="20"/>
        </w:rPr>
      </w:pPr>
      <w:r>
        <w:rPr>
          <w:rFonts w:ascii="Times New Roman" w:eastAsia="Calibri" w:hAnsi="Times New Roman" w:cs="Calibri"/>
          <w:b/>
          <w:bCs/>
          <w:kern w:val="0"/>
          <w:sz w:val="24"/>
          <w:szCs w:val="20"/>
        </w:rPr>
        <w:t>Figure S</w:t>
      </w:r>
      <w:r>
        <w:rPr>
          <w:rFonts w:ascii="Times New Roman" w:eastAsia="Calibri" w:hAnsi="Times New Roman" w:cs="Calibri" w:hint="eastAsia"/>
          <w:b/>
          <w:bCs/>
          <w:kern w:val="0"/>
          <w:sz w:val="24"/>
          <w:szCs w:val="20"/>
        </w:rPr>
        <w:t>4</w:t>
      </w:r>
      <w:r>
        <w:rPr>
          <w:rFonts w:ascii="Times New Roman" w:eastAsia="Calibri" w:hAnsi="Times New Roman" w:cs="Calibri"/>
          <w:b/>
          <w:bCs/>
          <w:kern w:val="0"/>
          <w:sz w:val="24"/>
          <w:szCs w:val="20"/>
        </w:rPr>
        <w:t>.</w:t>
      </w:r>
      <w:r>
        <w:rPr>
          <w:rFonts w:ascii="Times New Roman" w:eastAsia="Calibri" w:hAnsi="Times New Roman" w:cs="Calibri" w:hint="eastAsia"/>
          <w:b/>
          <w:bCs/>
          <w:kern w:val="0"/>
          <w:sz w:val="24"/>
          <w:szCs w:val="20"/>
        </w:rPr>
        <w:t xml:space="preserve">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Data analysis of clinical samples. A) Quality control of raw sequencing data. B) Flow cytometry analysis with CD14-APC antibody to verify the purity of peripheral blood monocytes sorted by magnetic beads. Three independent biological replicates.</w:t>
      </w:r>
    </w:p>
    <w:p w14:paraId="5D017B72" w14:textId="77777777" w:rsidR="00F561DD" w:rsidRDefault="00F561DD"/>
    <w:p w14:paraId="1CE9BDA7" w14:textId="77777777" w:rsidR="00F561DD" w:rsidRDefault="00F561DD"/>
    <w:p w14:paraId="4E1D5F19" w14:textId="77777777" w:rsidR="00F561DD" w:rsidRDefault="00F561DD"/>
    <w:p w14:paraId="57D61B19" w14:textId="77777777" w:rsidR="00F561DD" w:rsidRDefault="00F561DD"/>
    <w:p w14:paraId="4BDA5FD4" w14:textId="77777777" w:rsidR="00F561DD" w:rsidRDefault="00F561DD"/>
    <w:p w14:paraId="139B2860" w14:textId="77777777" w:rsidR="00F561DD" w:rsidRDefault="00000000">
      <w:r>
        <w:rPr>
          <w:noProof/>
        </w:rPr>
        <w:drawing>
          <wp:inline distT="0" distB="0" distL="114300" distR="114300" wp14:anchorId="28832591" wp14:editId="4A44EE83">
            <wp:extent cx="4460875" cy="5128260"/>
            <wp:effectExtent l="0" t="0" r="15875" b="15240"/>
            <wp:docPr id="5" name="图片 5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未标题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0875" cy="512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8B4FB" w14:textId="77777777" w:rsidR="00F561DD" w:rsidRDefault="00000000">
      <w:pPr>
        <w:spacing w:line="480" w:lineRule="auto"/>
        <w:jc w:val="left"/>
        <w:rPr>
          <w:rFonts w:ascii="Times New Roman" w:eastAsia="Calibri" w:hAnsi="Times New Roman" w:cs="Calibri"/>
          <w:kern w:val="0"/>
          <w:sz w:val="24"/>
          <w:szCs w:val="20"/>
        </w:rPr>
      </w:pPr>
      <w:r>
        <w:rPr>
          <w:rFonts w:ascii="Times New Roman" w:eastAsia="Calibri" w:hAnsi="Times New Roman" w:cs="Calibri" w:hint="eastAsia"/>
          <w:b/>
          <w:bCs/>
          <w:kern w:val="0"/>
          <w:sz w:val="24"/>
          <w:szCs w:val="20"/>
        </w:rPr>
        <w:t>Figure S5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. Colchicine inhibits migration and </w:t>
      </w:r>
      <w:proofErr w:type="spellStart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migrasome</w:t>
      </w:r>
      <w:proofErr w:type="spellEnd"/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 biogenesis in M0 macrophages. A) </w:t>
      </w:r>
      <w:proofErr w:type="spellStart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Transwell</w:t>
      </w:r>
      <w:proofErr w:type="spellEnd"/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 assay shows colchicine reduces migration of M0 macrophages. Scale bar=100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μ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m. (n=3) B) Wound healing assay demonstrates decreased migration area of M0 macrophages after colchicine treatment. Scale bar=100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μ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m. (n=3) C) Immunofluorescent staining with WGA and DAPI confirms colchicine suppresses </w:t>
      </w:r>
      <w:proofErr w:type="spellStart"/>
      <w:r>
        <w:rPr>
          <w:rFonts w:ascii="Times New Roman" w:eastAsia="Calibri" w:hAnsi="Times New Roman" w:cs="Calibri" w:hint="eastAsia"/>
          <w:kern w:val="0"/>
          <w:sz w:val="24"/>
          <w:szCs w:val="20"/>
        </w:rPr>
        <w:t>migrasome</w:t>
      </w:r>
      <w:proofErr w:type="spellEnd"/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 formation. Scale bar=5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μ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m. (n=20) Results are presented as mean 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>±</w:t>
      </w:r>
      <w:r>
        <w:rPr>
          <w:rFonts w:ascii="Times New Roman" w:eastAsia="Calibri" w:hAnsi="Times New Roman" w:cs="Calibri" w:hint="eastAsia"/>
          <w:kern w:val="0"/>
          <w:sz w:val="24"/>
          <w:szCs w:val="20"/>
        </w:rPr>
        <w:t xml:space="preserve"> SD. **p &lt; 0.01, ***p &lt; 0.001. One-way ANOVA or two-way ANOVA was used for multivariate analysis, and unpaired t-tests for comparisons between two groups.</w:t>
      </w:r>
    </w:p>
    <w:sectPr w:rsidR="00F56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1DD"/>
    <w:rsid w:val="005D313F"/>
    <w:rsid w:val="009D0DAC"/>
    <w:rsid w:val="00F561DD"/>
    <w:rsid w:val="05880374"/>
    <w:rsid w:val="05FD1736"/>
    <w:rsid w:val="0A003F9C"/>
    <w:rsid w:val="0AA90B70"/>
    <w:rsid w:val="0AD73741"/>
    <w:rsid w:val="0CE045F1"/>
    <w:rsid w:val="0EA93515"/>
    <w:rsid w:val="10512D24"/>
    <w:rsid w:val="11F012A0"/>
    <w:rsid w:val="141A7A2D"/>
    <w:rsid w:val="15A93225"/>
    <w:rsid w:val="1B046FF5"/>
    <w:rsid w:val="222A3E14"/>
    <w:rsid w:val="243B72CF"/>
    <w:rsid w:val="25435FC6"/>
    <w:rsid w:val="2E715BE6"/>
    <w:rsid w:val="2F5A7DDB"/>
    <w:rsid w:val="30C66456"/>
    <w:rsid w:val="31F5323A"/>
    <w:rsid w:val="35B50461"/>
    <w:rsid w:val="3C696A92"/>
    <w:rsid w:val="3E5D58CE"/>
    <w:rsid w:val="40063D93"/>
    <w:rsid w:val="41130D6F"/>
    <w:rsid w:val="41676AB4"/>
    <w:rsid w:val="41E40104"/>
    <w:rsid w:val="43E9694A"/>
    <w:rsid w:val="473F5DDD"/>
    <w:rsid w:val="49E10601"/>
    <w:rsid w:val="4AD01C6E"/>
    <w:rsid w:val="520E4D2A"/>
    <w:rsid w:val="52C61160"/>
    <w:rsid w:val="53476745"/>
    <w:rsid w:val="5B1F4BE8"/>
    <w:rsid w:val="5E2558D5"/>
    <w:rsid w:val="5E761C8C"/>
    <w:rsid w:val="5E912DD4"/>
    <w:rsid w:val="60E71F1C"/>
    <w:rsid w:val="646E4D02"/>
    <w:rsid w:val="677D2406"/>
    <w:rsid w:val="6CD504C6"/>
    <w:rsid w:val="6D7D3037"/>
    <w:rsid w:val="6DFA51F2"/>
    <w:rsid w:val="714D7078"/>
    <w:rsid w:val="72B34E05"/>
    <w:rsid w:val="73C03096"/>
    <w:rsid w:val="755E5F9F"/>
    <w:rsid w:val="76D13197"/>
    <w:rsid w:val="78016904"/>
    <w:rsid w:val="7818133A"/>
    <w:rsid w:val="79254A35"/>
    <w:rsid w:val="7CE1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83A52E"/>
  <w15:docId w15:val="{F1FC125F-5757-402B-B700-F1080B59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SimSun" w:eastAsia="SimSun" w:hAnsi="SimSun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qFormat/>
    <w:rPr>
      <w:sz w:val="20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styleId="a6">
    <w:name w:val="annotation reference"/>
    <w:basedOn w:val="a0"/>
    <w:uiPriority w:val="99"/>
    <w:qFormat/>
    <w:rPr>
      <w:sz w:val="16"/>
      <w:szCs w:val="16"/>
    </w:rPr>
  </w:style>
  <w:style w:type="paragraph" w:customStyle="1" w:styleId="AuthorsFull">
    <w:name w:val="Authors Full"/>
    <w:basedOn w:val="a"/>
    <w:qFormat/>
    <w:pPr>
      <w:widowControl/>
      <w:jc w:val="left"/>
    </w:pPr>
    <w:rPr>
      <w:rFonts w:ascii="Times New Roman" w:eastAsia="MS Mincho" w:hAnsi="Times New Roman" w:cs="Times New Roman"/>
      <w:i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张清芙</dc:creator>
  <cp:lastModifiedBy>정인영(생명과학전공)</cp:lastModifiedBy>
  <cp:revision>2</cp:revision>
  <dcterms:created xsi:type="dcterms:W3CDTF">2026-07-10T02:19:00Z</dcterms:created>
  <dcterms:modified xsi:type="dcterms:W3CDTF">2026-07-10T02:19:00Z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eyJoZGlkIjoiOWViZGVkYzRmM2VkY2YyYzhhMDMxMjIxMzViZmVkNDYiLCJ1c2VySWQiOiI4MzgwODQyODIifQ==</vt:lpwstr>
  </property>
  <property fmtid="{D5CDD505-2E9C-101B-9397-08002B2CF9AE}" pid="4" name="ICV">
    <vt:lpwstr>78C6FB7EFFE34361AE4E4BFB2BC769A3_12</vt:lpwstr>
  </property>
</Properties>
</file>